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3A" w:rsidRPr="0005383A" w:rsidRDefault="0005383A" w:rsidP="00501A16">
      <w:pPr>
        <w:pStyle w:val="Ttulo1"/>
        <w:rPr>
          <w:rFonts w:eastAsia="Times New Roman"/>
          <w:lang w:val="es-ES_tradnl" w:eastAsia="es-ES"/>
        </w:rPr>
      </w:pPr>
      <w:bookmarkStart w:id="0" w:name="_GoBack"/>
      <w:bookmarkEnd w:id="0"/>
      <w:r w:rsidRPr="0005383A">
        <w:rPr>
          <w:rFonts w:eastAsia="Times New Roman"/>
          <w:lang w:val="es-ES_tradnl" w:eastAsia="es-ES"/>
        </w:rPr>
        <w:t>Gráfic</w:t>
      </w:r>
      <w:r w:rsidR="00497974">
        <w:rPr>
          <w:rFonts w:eastAsia="Times New Roman"/>
          <w:lang w:val="es-ES_tradnl" w:eastAsia="es-ES"/>
        </w:rPr>
        <w:t>o</w:t>
      </w:r>
      <w:r w:rsidRPr="0005383A">
        <w:rPr>
          <w:rFonts w:eastAsia="Times New Roman"/>
          <w:lang w:val="es-ES_tradnl" w:eastAsia="es-ES"/>
        </w:rPr>
        <w:t xml:space="preserve"> 1. Distribución porcentual de la edad de pacientes con enfermedad coronaria.</w:t>
      </w:r>
    </w:p>
    <w:p w:rsidR="0005383A" w:rsidRPr="0005383A" w:rsidRDefault="0005383A" w:rsidP="009C2505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05383A">
        <w:rPr>
          <w:rFonts w:ascii="Calibri" w:eastAsia="Times New Roman" w:hAnsi="Calibri" w:cs="Times New Roman"/>
          <w:noProof/>
          <w:lang w:eastAsia="es-CO"/>
        </w:rPr>
        <w:drawing>
          <wp:inline distT="0" distB="0" distL="0" distR="0" wp14:anchorId="5BAE27FB" wp14:editId="1DC54BFB">
            <wp:extent cx="4735830" cy="3303905"/>
            <wp:effectExtent l="0" t="0" r="7620" b="10795"/>
            <wp:docPr id="1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383A" w:rsidRPr="0005383A" w:rsidRDefault="0005383A" w:rsidP="009C2505">
      <w:pPr>
        <w:spacing w:after="0" w:line="48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5383A">
        <w:rPr>
          <w:rFonts w:ascii="Arial" w:eastAsia="Times New Roman" w:hAnsi="Arial" w:cs="Arial"/>
          <w:b/>
          <w:sz w:val="24"/>
          <w:szCs w:val="24"/>
          <w:lang w:val="es-ES" w:eastAsia="es-ES"/>
        </w:rPr>
        <w:t>Fuente.</w:t>
      </w:r>
      <w:r w:rsidRPr="0005383A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05383A">
        <w:rPr>
          <w:rFonts w:ascii="Arial" w:eastAsia="Times New Roman" w:hAnsi="Arial" w:cs="Arial"/>
          <w:color w:val="2A2A2A"/>
          <w:sz w:val="24"/>
          <w:szCs w:val="24"/>
          <w:lang w:val="es-ES" w:eastAsia="es-ES"/>
        </w:rPr>
        <w:t>Grupo de Investigación CUIDSA-UT</w:t>
      </w:r>
    </w:p>
    <w:p w:rsidR="00165949" w:rsidRDefault="00165949" w:rsidP="009C2505">
      <w:pPr>
        <w:jc w:val="center"/>
      </w:pPr>
    </w:p>
    <w:p w:rsidR="009C2505" w:rsidRDefault="00497974" w:rsidP="009C2505">
      <w:pPr>
        <w:pStyle w:val="Sinespaciado"/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CO" w:eastAsia="es-CO"/>
        </w:rPr>
        <w:t>Gráfico</w:t>
      </w:r>
      <w:r w:rsidR="009C2505">
        <w:rPr>
          <w:rFonts w:ascii="Arial" w:hAnsi="Arial" w:cs="Arial"/>
          <w:b/>
          <w:noProof/>
          <w:sz w:val="24"/>
          <w:szCs w:val="24"/>
          <w:lang w:val="es-CO" w:eastAsia="es-CO"/>
        </w:rPr>
        <w:t xml:space="preserve"> 2.</w:t>
      </w:r>
      <w:r w:rsidR="009C2505">
        <w:rPr>
          <w:rFonts w:ascii="Arial" w:hAnsi="Arial" w:cs="Arial"/>
          <w:noProof/>
          <w:sz w:val="24"/>
          <w:szCs w:val="24"/>
          <w:lang w:val="es-CO" w:eastAsia="es-CO"/>
        </w:rPr>
        <w:t xml:space="preserve"> Distribución porcentual según el diagnostico</w:t>
      </w:r>
    </w:p>
    <w:p w:rsidR="009C2505" w:rsidRDefault="009C2505" w:rsidP="009C2505">
      <w:pPr>
        <w:pStyle w:val="Sinespaciado"/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color w:val="FFC000"/>
          <w:shd w:val="clear" w:color="auto" w:fill="FFC000"/>
          <w:lang w:val="es-CO" w:eastAsia="es-CO"/>
        </w:rPr>
        <w:drawing>
          <wp:inline distT="0" distB="0" distL="0" distR="0">
            <wp:extent cx="4580890" cy="2752090"/>
            <wp:effectExtent l="0" t="0" r="10160" b="1016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5383A" w:rsidRDefault="0005383A" w:rsidP="009C2505">
      <w:pPr>
        <w:jc w:val="center"/>
      </w:pPr>
    </w:p>
    <w:p w:rsidR="0072232A" w:rsidRDefault="0072232A" w:rsidP="0072232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3.</w:t>
      </w:r>
      <w:r>
        <w:rPr>
          <w:rFonts w:ascii="Arial" w:hAnsi="Arial" w:cs="Arial"/>
          <w:sz w:val="24"/>
          <w:szCs w:val="24"/>
        </w:rPr>
        <w:t xml:space="preserve"> Distribución porcentual de la adherencia en personas con enfermedad coronaria. Ibagué. 2013. </w:t>
      </w:r>
    </w:p>
    <w:p w:rsidR="0072232A" w:rsidRDefault="0072232A" w:rsidP="0072232A">
      <w:pPr>
        <w:pStyle w:val="Sinespaciad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72232A" w:rsidRDefault="0072232A" w:rsidP="0072232A">
      <w:pPr>
        <w:pStyle w:val="Sinespaciado"/>
        <w:spacing w:line="48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noProof/>
          <w:lang w:val="es-CO" w:eastAsia="es-CO"/>
        </w:rPr>
        <w:drawing>
          <wp:inline distT="0" distB="0" distL="0" distR="0">
            <wp:extent cx="4580890" cy="2752090"/>
            <wp:effectExtent l="0" t="0" r="10160" b="1016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9219D" w:rsidRDefault="0009219D" w:rsidP="0072232A">
      <w:pPr>
        <w:pStyle w:val="Sinespaciado"/>
        <w:spacing w:line="48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09219D" w:rsidRDefault="0009219D" w:rsidP="000921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4.</w:t>
      </w:r>
      <w:r>
        <w:rPr>
          <w:rFonts w:ascii="Arial" w:hAnsi="Arial" w:cs="Arial"/>
          <w:sz w:val="24"/>
          <w:szCs w:val="24"/>
        </w:rPr>
        <w:t xml:space="preserve"> Distribución porcentual de los resultados de la Escala Europea de Autocuidado en personas con enfermedad coronaria. Ibagué 2013.</w:t>
      </w:r>
    </w:p>
    <w:p w:rsidR="0009219D" w:rsidRDefault="0009219D" w:rsidP="0009219D">
      <w:pPr>
        <w:pStyle w:val="NormalWeb"/>
        <w:spacing w:line="480" w:lineRule="auto"/>
        <w:jc w:val="center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inline distT="0" distB="0" distL="0" distR="0">
            <wp:extent cx="4580890" cy="2752090"/>
            <wp:effectExtent l="0" t="0" r="10160" b="1016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2232A" w:rsidRDefault="0072232A" w:rsidP="0009219D">
      <w:pPr>
        <w:jc w:val="center"/>
      </w:pPr>
    </w:p>
    <w:sectPr w:rsidR="007223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3A"/>
    <w:rsid w:val="0005383A"/>
    <w:rsid w:val="0009219D"/>
    <w:rsid w:val="00165949"/>
    <w:rsid w:val="00375505"/>
    <w:rsid w:val="00497974"/>
    <w:rsid w:val="00501A16"/>
    <w:rsid w:val="0072232A"/>
    <w:rsid w:val="009C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1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C2505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9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A1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01A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1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9C2505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09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A1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501A1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Libro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Hoja1!$B$5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3763440860215301E-3"/>
                  <c:y val="-1.1578541103820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3763440860215058E-3"/>
                  <c:y val="-7.71902740254734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7.7190274025472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129032258064516E-2"/>
                  <c:y val="-7.71902740254727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0752688172043012E-2"/>
                  <c:y val="-3.85951370127363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Hoja1!$A$6:$A$10</c:f>
              <c:strCache>
                <c:ptCount val="5"/>
                <c:pt idx="0">
                  <c:v>20-34 </c:v>
                </c:pt>
                <c:pt idx="1">
                  <c:v>35-49</c:v>
                </c:pt>
                <c:pt idx="2">
                  <c:v>50-64</c:v>
                </c:pt>
                <c:pt idx="3">
                  <c:v>65-79</c:v>
                </c:pt>
                <c:pt idx="4">
                  <c:v>80 y mas </c:v>
                </c:pt>
              </c:strCache>
            </c:strRef>
          </c:cat>
          <c:val>
            <c:numRef>
              <c:f>Hoja1!$B$6:$B$10</c:f>
              <c:numCache>
                <c:formatCode>0.0%</c:formatCode>
                <c:ptCount val="5"/>
                <c:pt idx="0">
                  <c:v>5.5E-2</c:v>
                </c:pt>
                <c:pt idx="1">
                  <c:v>0.109</c:v>
                </c:pt>
                <c:pt idx="2">
                  <c:v>0.29099999999999998</c:v>
                </c:pt>
                <c:pt idx="3">
                  <c:v>0.36399999999999999</c:v>
                </c:pt>
                <c:pt idx="4">
                  <c:v>0.182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1126912"/>
        <c:axId val="38140096"/>
        <c:axId val="42407808"/>
      </c:bar3DChart>
      <c:catAx>
        <c:axId val="1211269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Edad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38140096"/>
        <c:crosses val="autoZero"/>
        <c:auto val="1"/>
        <c:lblAlgn val="ctr"/>
        <c:lblOffset val="100"/>
        <c:noMultiLvlLbl val="0"/>
      </c:catAx>
      <c:valAx>
        <c:axId val="3814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21126912"/>
        <c:crosses val="autoZero"/>
        <c:crossBetween val="between"/>
      </c:valAx>
      <c:serAx>
        <c:axId val="42407808"/>
        <c:scaling>
          <c:orientation val="minMax"/>
        </c:scaling>
        <c:delete val="1"/>
        <c:axPos val="b"/>
        <c:majorTickMark val="none"/>
        <c:minorTickMark val="none"/>
        <c:tickLblPos val="nextTo"/>
        <c:crossAx val="38140096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/>
              <a:sp3d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/>
              <a:sp3d/>
            </c:spPr>
          </c:dPt>
          <c:dPt>
            <c:idx val="2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</c:dPt>
          <c:dPt>
            <c:idx val="3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BF004353-5174-4549-A2B9-8956A3E04D77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5B0A38CA-0824-4A3B-B2EA-C479F24D8972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4.5724190726159179E-2"/>
                  <c:y val="3.216207349081364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B5FED62C-7D41-4B4A-8831-1DD40901F67F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3.4804461942257267E-2"/>
                  <c:y val="1.339238845144356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
</a:t>
                    </a:r>
                    <a:fld id="{0C4C9CFC-0606-44B0-A798-8AA7C930E75C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Hoja2!$B$6:$B$9</c:f>
              <c:strCache>
                <c:ptCount val="4"/>
                <c:pt idx="0">
                  <c:v>Insuficiencia cardiaca</c:v>
                </c:pt>
                <c:pt idx="1">
                  <c:v>Cardiopatía dilatada</c:v>
                </c:pt>
                <c:pt idx="2">
                  <c:v>Cardiopatía isquémica</c:v>
                </c:pt>
                <c:pt idx="3">
                  <c:v>Infarto </c:v>
                </c:pt>
              </c:strCache>
            </c:strRef>
          </c:cat>
          <c:val>
            <c:numRef>
              <c:f>Hoja2!$C$6:$C$9</c:f>
              <c:numCache>
                <c:formatCode>0.00%</c:formatCode>
                <c:ptCount val="4"/>
                <c:pt idx="0">
                  <c:v>0.69089999999999996</c:v>
                </c:pt>
                <c:pt idx="1">
                  <c:v>0.2445</c:v>
                </c:pt>
                <c:pt idx="2">
                  <c:v>1.8200000000000001E-2</c:v>
                </c:pt>
                <c:pt idx="3">
                  <c:v>3.6400000000000002E-2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explosion val="4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Hoja3!$C$14:$C$15</c:f>
              <c:strCache>
                <c:ptCount val="2"/>
                <c:pt idx="0">
                  <c:v>Adherencia</c:v>
                </c:pt>
                <c:pt idx="1">
                  <c:v>En riesgo de no adherencia</c:v>
                </c:pt>
              </c:strCache>
            </c:strRef>
          </c:cat>
          <c:val>
            <c:numRef>
              <c:f>Hoja3!$D$14:$D$15</c:f>
              <c:numCache>
                <c:formatCode>0.00%</c:formatCode>
                <c:ptCount val="2"/>
                <c:pt idx="0">
                  <c:v>0.96360000000000001</c:v>
                </c:pt>
                <c:pt idx="1">
                  <c:v>3.6400000000000002E-2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tx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3888888888888888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3888888888888888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Hoja4!$A$9:$A$11</c:f>
              <c:strCache>
                <c:ptCount val="3"/>
                <c:pt idx="0">
                  <c:v>Mejor </c:v>
                </c:pt>
                <c:pt idx="1">
                  <c:v>Moderado</c:v>
                </c:pt>
                <c:pt idx="2">
                  <c:v>Peor </c:v>
                </c:pt>
              </c:strCache>
            </c:strRef>
          </c:cat>
          <c:val>
            <c:numRef>
              <c:f>Hoja4!$B$9:$B$11</c:f>
              <c:numCache>
                <c:formatCode>0%</c:formatCode>
                <c:ptCount val="3"/>
                <c:pt idx="0" formatCode="0.0%">
                  <c:v>7.2999999999999995E-2</c:v>
                </c:pt>
                <c:pt idx="1">
                  <c:v>0.4</c:v>
                </c:pt>
                <c:pt idx="2" formatCode="0.0%">
                  <c:v>0.52700000000000002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75100160"/>
        <c:axId val="72787072"/>
        <c:axId val="0"/>
      </c:bar3DChart>
      <c:catAx>
        <c:axId val="751001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Rangos</a:t>
                </a:r>
                <a:r>
                  <a:rPr lang="es-CO" baseline="0"/>
                  <a:t> de la Escala 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2787072"/>
        <c:crosses val="autoZero"/>
        <c:auto val="1"/>
        <c:lblAlgn val="ctr"/>
        <c:lblOffset val="100"/>
        <c:noMultiLvlLbl val="0"/>
      </c:catAx>
      <c:valAx>
        <c:axId val="7278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/>
                  <a:t>Porcentaje</a:t>
                </a:r>
                <a:r>
                  <a:rPr lang="es-CO" baseline="0"/>
                  <a:t> </a:t>
                </a:r>
                <a:endParaRPr lang="es-CO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7510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Usuario</cp:lastModifiedBy>
  <cp:revision>2</cp:revision>
  <dcterms:created xsi:type="dcterms:W3CDTF">2015-03-31T15:11:00Z</dcterms:created>
  <dcterms:modified xsi:type="dcterms:W3CDTF">2015-03-31T15:11:00Z</dcterms:modified>
</cp:coreProperties>
</file>