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16" w:rsidRDefault="00D95916" w:rsidP="00D61F22">
      <w:pPr>
        <w:jc w:val="both"/>
        <w:rPr>
          <w:rFonts w:ascii="Calibri" w:hAnsi="Calibri" w:cs="Calibri"/>
          <w:b/>
        </w:rPr>
      </w:pPr>
      <w:r w:rsidRPr="00D95916">
        <w:rPr>
          <w:rFonts w:ascii="Calibri" w:hAnsi="Calibri" w:cs="Calibri"/>
          <w:b/>
        </w:rPr>
        <w:t>CONTROL CAMBIOS</w:t>
      </w:r>
    </w:p>
    <w:p w:rsidR="00D95916" w:rsidRPr="00D95916" w:rsidRDefault="00D95916" w:rsidP="00D61F22">
      <w:pPr>
        <w:jc w:val="both"/>
        <w:rPr>
          <w:rFonts w:ascii="Calibri" w:hAnsi="Calibri" w:cs="Calibri"/>
          <w:b/>
        </w:rPr>
      </w:pPr>
    </w:p>
    <w:p w:rsidR="001307B5" w:rsidRDefault="001307B5" w:rsidP="00D61F22">
      <w:pPr>
        <w:pStyle w:val="ciudadyfecha0"/>
        <w:numPr>
          <w:ilvl w:val="0"/>
          <w:numId w:val="20"/>
        </w:numPr>
        <w:spacing w:before="0" w:beforeAutospacing="0" w:after="0" w:afterAutospacing="0"/>
        <w:jc w:val="both"/>
        <w:rPr>
          <w:rFonts w:ascii="Calibri" w:hAnsi="Calibri" w:cs="Calibri"/>
        </w:rPr>
      </w:pPr>
      <w:r w:rsidRPr="000E6C08">
        <w:rPr>
          <w:rFonts w:ascii="Calibri" w:hAnsi="Calibri" w:cs="Calibri"/>
        </w:rPr>
        <w:t>El artículo debe explicarse mejor o</w:t>
      </w:r>
      <w:r>
        <w:rPr>
          <w:rFonts w:ascii="Calibri" w:hAnsi="Calibri" w:cs="Calibri"/>
        </w:rPr>
        <w:t>, mejor</w:t>
      </w:r>
      <w:r w:rsidRPr="000E6C08">
        <w:rPr>
          <w:rFonts w:ascii="Calibri" w:hAnsi="Calibri" w:cs="Calibri"/>
        </w:rPr>
        <w:t xml:space="preserve"> aún dividir</w:t>
      </w:r>
      <w:r>
        <w:rPr>
          <w:rFonts w:ascii="Calibri" w:hAnsi="Calibri" w:cs="Calibri"/>
        </w:rPr>
        <w:t>se</w:t>
      </w:r>
      <w:r w:rsidRPr="000E6C08">
        <w:rPr>
          <w:rFonts w:ascii="Calibri" w:hAnsi="Calibri" w:cs="Calibri"/>
        </w:rPr>
        <w:t xml:space="preserve"> en dos artículos. El grado de novedad del artículo es medio pues la parte teórica ya se encuentra en las referencias citadas por los autores.</w:t>
      </w:r>
    </w:p>
    <w:p w:rsidR="001307B5" w:rsidRDefault="001307B5" w:rsidP="00C25860">
      <w:pPr>
        <w:pStyle w:val="ciudadyfecha0"/>
        <w:spacing w:before="0" w:beforeAutospacing="0" w:after="0" w:afterAutospacing="0"/>
        <w:ind w:left="284"/>
        <w:jc w:val="both"/>
        <w:rPr>
          <w:rFonts w:ascii="Calibri" w:hAnsi="Calibri" w:cs="Calibri"/>
        </w:rPr>
      </w:pPr>
      <w:r w:rsidRPr="00D95916">
        <w:rPr>
          <w:rFonts w:ascii="Calibri" w:hAnsi="Calibri" w:cs="Calibri"/>
          <w:b/>
        </w:rPr>
        <w:t>R//</w:t>
      </w:r>
      <w:r>
        <w:rPr>
          <w:rFonts w:ascii="Calibri" w:hAnsi="Calibri" w:cs="Calibri"/>
        </w:rPr>
        <w:t xml:space="preserve"> Efectivamente la teoría se encuentra en parte diseminada en varios artículos publicados en los últimos a</w:t>
      </w:r>
      <w:r>
        <w:rPr>
          <w:rFonts w:ascii="Arial" w:hAnsi="Arial" w:cs="Arial"/>
        </w:rPr>
        <w:t>ño</w:t>
      </w:r>
      <w:r>
        <w:rPr>
          <w:rFonts w:ascii="Calibri" w:hAnsi="Calibri" w:cs="Calibri"/>
        </w:rPr>
        <w:t xml:space="preserve">s.  En este manuscrito intentamos hacer un </w:t>
      </w:r>
      <w:r w:rsidR="00D95916">
        <w:rPr>
          <w:rFonts w:ascii="Calibri" w:hAnsi="Calibri" w:cs="Calibri"/>
        </w:rPr>
        <w:t>artículo</w:t>
      </w:r>
      <w:r>
        <w:rPr>
          <w:rFonts w:ascii="Calibri" w:hAnsi="Calibri" w:cs="Calibri"/>
        </w:rPr>
        <w:t xml:space="preserve"> auto-contenido que pueda ser referencia en nuestro idioma y que muestre, de un lado, la aplicación y formulación del método de los elementos finitos y por otro, la formulación de un sistema estocástico aplicado a sistemas de reacción difusión con parámetros en el espacio de Turing. </w:t>
      </w:r>
    </w:p>
    <w:p w:rsidR="001307B5" w:rsidRDefault="001307B5" w:rsidP="00C25860">
      <w:pPr>
        <w:pStyle w:val="ciudadyfecha0"/>
        <w:spacing w:before="0" w:beforeAutospacing="0" w:after="0" w:afterAutospacing="0"/>
        <w:ind w:left="284"/>
        <w:jc w:val="both"/>
        <w:rPr>
          <w:rFonts w:ascii="Calibri" w:hAnsi="Calibri" w:cs="Calibri"/>
        </w:rPr>
      </w:pPr>
    </w:p>
    <w:p w:rsidR="001307B5" w:rsidRDefault="001307B5" w:rsidP="00D61F22">
      <w:pPr>
        <w:pStyle w:val="ciudadyfecha0"/>
        <w:numPr>
          <w:ilvl w:val="0"/>
          <w:numId w:val="20"/>
        </w:numPr>
        <w:spacing w:before="0" w:beforeAutospacing="0" w:after="0" w:afterAutospacing="0"/>
        <w:jc w:val="both"/>
        <w:rPr>
          <w:rFonts w:ascii="Calibri" w:hAnsi="Calibri" w:cs="Calibri"/>
        </w:rPr>
      </w:pPr>
      <w:r>
        <w:rPr>
          <w:rFonts w:ascii="Calibri" w:hAnsi="Calibri" w:cs="Calibri"/>
        </w:rPr>
        <w:t>E</w:t>
      </w:r>
      <w:r w:rsidRPr="000E6C08">
        <w:rPr>
          <w:rFonts w:ascii="Calibri" w:hAnsi="Calibri" w:cs="Calibri"/>
        </w:rPr>
        <w:t>l resumen debe mejorar</w:t>
      </w:r>
      <w:r>
        <w:rPr>
          <w:rFonts w:ascii="Calibri" w:hAnsi="Calibri" w:cs="Calibri"/>
        </w:rPr>
        <w:t>, se puede</w:t>
      </w:r>
      <w:r w:rsidRPr="000E6C08">
        <w:rPr>
          <w:rFonts w:ascii="Calibri" w:hAnsi="Calibri" w:cs="Calibri"/>
        </w:rPr>
        <w:t xml:space="preserve"> explicar mejor el contenido del artículo. No se cita</w:t>
      </w:r>
      <w:r>
        <w:rPr>
          <w:rFonts w:ascii="Calibri" w:hAnsi="Calibri" w:cs="Calibri"/>
        </w:rPr>
        <w:t>n</w:t>
      </w:r>
      <w:r w:rsidRPr="000E6C08">
        <w:rPr>
          <w:rFonts w:ascii="Calibri" w:hAnsi="Calibri" w:cs="Calibri"/>
        </w:rPr>
        <w:t xml:space="preserve"> claramente en el resumen los resultados que se obtuvieron con las simulaciones numéricas.</w:t>
      </w:r>
    </w:p>
    <w:p w:rsidR="00D95916" w:rsidRDefault="00D95916" w:rsidP="00D95916">
      <w:pPr>
        <w:pStyle w:val="ciudadyfecha0"/>
        <w:spacing w:before="0" w:beforeAutospacing="0" w:after="0" w:afterAutospacing="0"/>
        <w:ind w:left="644"/>
        <w:jc w:val="both"/>
        <w:rPr>
          <w:rFonts w:ascii="Calibri" w:hAnsi="Calibri" w:cs="Calibri"/>
        </w:rPr>
      </w:pPr>
    </w:p>
    <w:p w:rsidR="001307B5" w:rsidRDefault="001307B5" w:rsidP="00C25860">
      <w:pPr>
        <w:pStyle w:val="ciudadyfecha0"/>
        <w:spacing w:before="0" w:beforeAutospacing="0" w:after="0" w:afterAutospacing="0"/>
        <w:ind w:left="284"/>
        <w:jc w:val="both"/>
        <w:rPr>
          <w:rFonts w:ascii="Calibri" w:hAnsi="Calibri" w:cs="Calibri"/>
        </w:rPr>
      </w:pPr>
      <w:r w:rsidRPr="00D95916">
        <w:rPr>
          <w:rFonts w:ascii="Calibri" w:hAnsi="Calibri" w:cs="Calibri"/>
          <w:b/>
        </w:rPr>
        <w:t>R//</w:t>
      </w:r>
      <w:r>
        <w:rPr>
          <w:rFonts w:ascii="Calibri" w:hAnsi="Calibri" w:cs="Calibri"/>
        </w:rPr>
        <w:t xml:space="preserve"> En esta nueva versión se ha cambiado el resumen y se ha incluido una frase que tiene en cuenta los resultados numéricos, el nuevo resumen es </w:t>
      </w:r>
      <w:r w:rsidR="00D95916">
        <w:rPr>
          <w:rFonts w:ascii="Calibri" w:hAnsi="Calibri" w:cs="Calibri"/>
        </w:rPr>
        <w:t>así</w:t>
      </w:r>
      <w:r>
        <w:rPr>
          <w:rFonts w:ascii="Calibri" w:hAnsi="Calibri" w:cs="Calibri"/>
        </w:rPr>
        <w:t>:</w:t>
      </w:r>
    </w:p>
    <w:p w:rsidR="001307B5" w:rsidRPr="00D95916" w:rsidRDefault="00D95916" w:rsidP="00D95916">
      <w:pPr>
        <w:pStyle w:val="Ttulo1"/>
        <w:ind w:left="644"/>
        <w:jc w:val="both"/>
        <w:rPr>
          <w:b w:val="0"/>
          <w:bCs w:val="0"/>
          <w:sz w:val="20"/>
          <w:szCs w:val="20"/>
        </w:rPr>
      </w:pPr>
      <w:r>
        <w:rPr>
          <w:b w:val="0"/>
          <w:bCs w:val="0"/>
          <w:sz w:val="20"/>
          <w:szCs w:val="20"/>
        </w:rPr>
        <w:t>“</w:t>
      </w:r>
      <w:r w:rsidR="001307B5" w:rsidRPr="00D95916">
        <w:rPr>
          <w:b w:val="0"/>
          <w:bCs w:val="0"/>
          <w:sz w:val="20"/>
          <w:szCs w:val="20"/>
        </w:rPr>
        <w:t xml:space="preserve">En este artículo se presentan varios ensayos numéricos sobre las ecuaciones de reacción-difusión en el espacio de Turing, bajo el mecanismo de reacción de </w:t>
      </w:r>
      <w:proofErr w:type="spellStart"/>
      <w:r w:rsidR="001307B5" w:rsidRPr="00D95916">
        <w:rPr>
          <w:b w:val="0"/>
          <w:bCs w:val="0"/>
          <w:sz w:val="20"/>
          <w:szCs w:val="20"/>
        </w:rPr>
        <w:t>Schnakenberg</w:t>
      </w:r>
      <w:proofErr w:type="spellEnd"/>
      <w:r w:rsidR="001307B5" w:rsidRPr="00D95916">
        <w:rPr>
          <w:b w:val="0"/>
          <w:bCs w:val="0"/>
          <w:sz w:val="20"/>
          <w:szCs w:val="20"/>
        </w:rPr>
        <w:t xml:space="preserve">. Los ensayos se realizan en 2D sobre cuadrados unitarios, a los cuales se les impone condiciones iniciales aleatorias y </w:t>
      </w:r>
      <w:proofErr w:type="spellStart"/>
      <w:r w:rsidR="001307B5" w:rsidRPr="00D95916">
        <w:rPr>
          <w:b w:val="0"/>
          <w:bCs w:val="0"/>
          <w:sz w:val="20"/>
          <w:szCs w:val="20"/>
        </w:rPr>
        <w:t>Neumann</w:t>
      </w:r>
      <w:proofErr w:type="spellEnd"/>
      <w:r w:rsidR="001307B5" w:rsidRPr="00D95916">
        <w:rPr>
          <w:b w:val="0"/>
          <w:bCs w:val="0"/>
          <w:sz w:val="20"/>
          <w:szCs w:val="20"/>
        </w:rPr>
        <w:t xml:space="preserve"> nulas sobre el contorno. </w:t>
      </w:r>
      <w:r w:rsidR="001307B5" w:rsidRPr="00D95916">
        <w:rPr>
          <w:b w:val="0"/>
          <w:bCs w:val="0"/>
          <w:sz w:val="20"/>
          <w:szCs w:val="20"/>
          <w:lang w:eastAsia="en-US"/>
        </w:rPr>
        <w:t>Los parámetros que definen el comportamiento de las ecuaciones se modelan como campos estocásticos; específicamente, se utilizan: la difusión y los parámetros reactivos como valores de tipo aleatorio. Por tanto, se combina el método estándar de elementos finitos con Newton-</w:t>
      </w:r>
      <w:proofErr w:type="spellStart"/>
      <w:r w:rsidR="001307B5" w:rsidRPr="00D95916">
        <w:rPr>
          <w:b w:val="0"/>
          <w:bCs w:val="0"/>
          <w:sz w:val="20"/>
          <w:szCs w:val="20"/>
          <w:lang w:eastAsia="en-US"/>
        </w:rPr>
        <w:t>Raphson</w:t>
      </w:r>
      <w:proofErr w:type="spellEnd"/>
      <w:r w:rsidR="001307B5" w:rsidRPr="00D95916">
        <w:rPr>
          <w:b w:val="0"/>
          <w:bCs w:val="0"/>
          <w:sz w:val="20"/>
          <w:szCs w:val="20"/>
          <w:lang w:eastAsia="en-US"/>
        </w:rPr>
        <w:t xml:space="preserve"> con el método de los elementos finitos estocásticos espectrales. Los parámetros de cada </w:t>
      </w:r>
      <w:proofErr w:type="spellStart"/>
      <w:r w:rsidR="001307B5" w:rsidRPr="00D95916">
        <w:rPr>
          <w:b w:val="0"/>
          <w:bCs w:val="0"/>
          <w:sz w:val="20"/>
          <w:szCs w:val="20"/>
          <w:lang w:eastAsia="en-US"/>
        </w:rPr>
        <w:t>ecuacion</w:t>
      </w:r>
      <w:proofErr w:type="spellEnd"/>
      <w:r w:rsidR="001307B5" w:rsidRPr="00D95916">
        <w:rPr>
          <w:b w:val="0"/>
          <w:bCs w:val="0"/>
          <w:sz w:val="20"/>
          <w:szCs w:val="20"/>
          <w:lang w:eastAsia="en-US"/>
        </w:rPr>
        <w:t xml:space="preserve"> se han descrito mediante la expansión de </w:t>
      </w:r>
      <w:proofErr w:type="spellStart"/>
      <w:r w:rsidR="001307B5" w:rsidRPr="00D95916">
        <w:rPr>
          <w:b w:val="0"/>
          <w:bCs w:val="0"/>
          <w:sz w:val="20"/>
          <w:szCs w:val="20"/>
          <w:lang w:eastAsia="en-US"/>
        </w:rPr>
        <w:t>Karhunen-Loève</w:t>
      </w:r>
      <w:proofErr w:type="spellEnd"/>
      <w:r w:rsidR="001307B5" w:rsidRPr="00D95916">
        <w:rPr>
          <w:b w:val="0"/>
          <w:bCs w:val="0"/>
          <w:sz w:val="20"/>
          <w:szCs w:val="20"/>
          <w:lang w:eastAsia="en-US"/>
        </w:rPr>
        <w:t xml:space="preserve">, mientras la incógnita se representa mediante la expansión de los polinomios de caos. El objetivo del </w:t>
      </w:r>
      <w:proofErr w:type="gramStart"/>
      <w:r w:rsidR="001307B5" w:rsidRPr="00D95916">
        <w:rPr>
          <w:b w:val="0"/>
          <w:bCs w:val="0"/>
          <w:sz w:val="20"/>
          <w:szCs w:val="20"/>
          <w:lang w:eastAsia="en-US"/>
        </w:rPr>
        <w:t>articulo</w:t>
      </w:r>
      <w:proofErr w:type="gramEnd"/>
      <w:r w:rsidR="001307B5" w:rsidRPr="00D95916">
        <w:rPr>
          <w:b w:val="0"/>
          <w:bCs w:val="0"/>
          <w:sz w:val="20"/>
          <w:szCs w:val="20"/>
          <w:lang w:eastAsia="en-US"/>
        </w:rPr>
        <w:t xml:space="preserve"> es obtener los patrones de cada coeficiente de la expansión en polinomios de caos. Los resultados muestran la versatilidad del método para solucionar diferentes problemas físicos. Además, se logra la descripción estadística de la solución. </w:t>
      </w:r>
      <w:r w:rsidR="001307B5" w:rsidRPr="00D95916">
        <w:rPr>
          <w:b w:val="0"/>
          <w:bCs w:val="0"/>
          <w:sz w:val="20"/>
          <w:szCs w:val="20"/>
        </w:rPr>
        <w:t>Los resultados (para los coeficientes estocásticos de la incógnita) muestran patrones complejos que mezclan bandas y puntos, que no se pueden predecir desde la dinámica del sistema</w:t>
      </w:r>
      <w:r w:rsidRPr="00D95916">
        <w:rPr>
          <w:b w:val="0"/>
          <w:bCs w:val="0"/>
          <w:sz w:val="20"/>
          <w:szCs w:val="20"/>
        </w:rPr>
        <w:t>.</w:t>
      </w:r>
      <w:r>
        <w:rPr>
          <w:b w:val="0"/>
          <w:bCs w:val="0"/>
          <w:sz w:val="20"/>
          <w:szCs w:val="20"/>
        </w:rPr>
        <w:t xml:space="preserve"> “</w:t>
      </w:r>
    </w:p>
    <w:p w:rsidR="001307B5" w:rsidRDefault="001307B5" w:rsidP="00C25860">
      <w:pPr>
        <w:pStyle w:val="ciudadyfecha0"/>
        <w:spacing w:before="0" w:beforeAutospacing="0" w:after="0" w:afterAutospacing="0"/>
        <w:ind w:left="284"/>
        <w:jc w:val="both"/>
        <w:rPr>
          <w:rFonts w:ascii="Calibri" w:hAnsi="Calibri" w:cs="Calibri"/>
        </w:rPr>
      </w:pPr>
    </w:p>
    <w:p w:rsidR="001307B5" w:rsidRDefault="001307B5" w:rsidP="00D61F22">
      <w:pPr>
        <w:pStyle w:val="ciudadyfecha0"/>
        <w:numPr>
          <w:ilvl w:val="0"/>
          <w:numId w:val="20"/>
        </w:numPr>
        <w:spacing w:before="0" w:beforeAutospacing="0" w:after="0" w:afterAutospacing="0"/>
        <w:jc w:val="both"/>
        <w:rPr>
          <w:rFonts w:ascii="Calibri" w:hAnsi="Calibri" w:cs="Calibri"/>
        </w:rPr>
      </w:pPr>
      <w:r w:rsidRPr="000E6C08">
        <w:rPr>
          <w:rFonts w:ascii="Calibri" w:hAnsi="Calibri" w:cs="Calibri"/>
        </w:rPr>
        <w:t>El artículo presenta los resultados de forma adecuada</w:t>
      </w:r>
      <w:r>
        <w:rPr>
          <w:rFonts w:ascii="Calibri" w:hAnsi="Calibri" w:cs="Calibri"/>
        </w:rPr>
        <w:t xml:space="preserve">; </w:t>
      </w:r>
      <w:r w:rsidRPr="000E6C08">
        <w:rPr>
          <w:rFonts w:ascii="Calibri" w:hAnsi="Calibri" w:cs="Calibri"/>
        </w:rPr>
        <w:t>sin embargo</w:t>
      </w:r>
      <w:r>
        <w:rPr>
          <w:rFonts w:ascii="Calibri" w:hAnsi="Calibri" w:cs="Calibri"/>
        </w:rPr>
        <w:t>,</w:t>
      </w:r>
      <w:r w:rsidRPr="000E6C08">
        <w:rPr>
          <w:rFonts w:ascii="Calibri" w:hAnsi="Calibri" w:cs="Calibri"/>
        </w:rPr>
        <w:t xml:space="preserve"> debería detallarse un poco más en el desarrollo de las ecuaciones. </w:t>
      </w:r>
      <w:r>
        <w:rPr>
          <w:rFonts w:ascii="Calibri" w:hAnsi="Calibri" w:cs="Calibri"/>
        </w:rPr>
        <w:t>Adicionalmente, se recomienda unificar y aclarar la notación, pues cambia</w:t>
      </w:r>
      <w:r w:rsidRPr="000E6C08">
        <w:rPr>
          <w:rFonts w:ascii="Calibri" w:hAnsi="Calibri" w:cs="Calibri"/>
        </w:rPr>
        <w:t xml:space="preserve"> constantemente</w:t>
      </w:r>
      <w:r>
        <w:rPr>
          <w:rFonts w:ascii="Calibri" w:hAnsi="Calibri" w:cs="Calibri"/>
        </w:rPr>
        <w:t xml:space="preserve"> y hay muchas definiciones matemáticas a lo largo del artículo, así como explicar mejor las </w:t>
      </w:r>
      <w:r w:rsidRPr="000E6C08">
        <w:rPr>
          <w:rFonts w:ascii="Calibri" w:hAnsi="Calibri" w:cs="Calibri"/>
        </w:rPr>
        <w:t xml:space="preserve">bases de </w:t>
      </w:r>
      <w:r>
        <w:rPr>
          <w:rFonts w:ascii="Calibri" w:hAnsi="Calibri" w:cs="Calibri"/>
        </w:rPr>
        <w:t xml:space="preserve">las </w:t>
      </w:r>
      <w:r w:rsidRPr="000E6C08">
        <w:rPr>
          <w:rFonts w:ascii="Calibri" w:hAnsi="Calibri" w:cs="Calibri"/>
        </w:rPr>
        <w:t>funciones</w:t>
      </w:r>
      <w:r>
        <w:rPr>
          <w:rFonts w:ascii="Calibri" w:hAnsi="Calibri" w:cs="Calibri"/>
        </w:rPr>
        <w:t xml:space="preserve"> utilizadas</w:t>
      </w:r>
      <w:r w:rsidRPr="000E6C08">
        <w:rPr>
          <w:rFonts w:ascii="Calibri" w:hAnsi="Calibri" w:cs="Calibri"/>
        </w:rPr>
        <w:t xml:space="preserve">. </w:t>
      </w:r>
    </w:p>
    <w:p w:rsidR="001307B5" w:rsidRDefault="001307B5" w:rsidP="00F44A8D">
      <w:pPr>
        <w:pStyle w:val="ciudadyfecha0"/>
        <w:spacing w:before="0" w:beforeAutospacing="0" w:after="0" w:afterAutospacing="0"/>
        <w:jc w:val="both"/>
        <w:rPr>
          <w:rFonts w:ascii="Calibri" w:hAnsi="Calibri" w:cs="Calibri"/>
        </w:rPr>
      </w:pPr>
      <w:r w:rsidRPr="00D95916">
        <w:rPr>
          <w:rFonts w:ascii="Calibri" w:hAnsi="Calibri" w:cs="Calibri"/>
          <w:b/>
        </w:rPr>
        <w:t>R//</w:t>
      </w:r>
      <w:r>
        <w:rPr>
          <w:rFonts w:ascii="Calibri" w:hAnsi="Calibri" w:cs="Calibri"/>
        </w:rPr>
        <w:t xml:space="preserve"> En esta nueva versión del articulo se ha hecho la explicación y se ha referenciado cada una de las ecuaciones en mención.  Estas referencias se encuentran </w:t>
      </w:r>
      <w:r w:rsidR="00D95916">
        <w:rPr>
          <w:rFonts w:ascii="Calibri" w:hAnsi="Calibri" w:cs="Calibri"/>
        </w:rPr>
        <w:t>resaltadas</w:t>
      </w:r>
      <w:r>
        <w:rPr>
          <w:rFonts w:ascii="Calibri" w:hAnsi="Calibri" w:cs="Calibri"/>
        </w:rPr>
        <w:t xml:space="preserve"> en color verde.</w:t>
      </w:r>
    </w:p>
    <w:p w:rsidR="001307B5" w:rsidRDefault="001307B5" w:rsidP="009D5A18">
      <w:pPr>
        <w:pStyle w:val="ciudadyfecha0"/>
        <w:numPr>
          <w:ilvl w:val="0"/>
          <w:numId w:val="20"/>
        </w:numPr>
        <w:jc w:val="both"/>
        <w:rPr>
          <w:rFonts w:ascii="Calibri" w:hAnsi="Calibri" w:cs="Calibri"/>
        </w:rPr>
      </w:pPr>
      <w:r w:rsidRPr="000E6C08">
        <w:rPr>
          <w:rFonts w:ascii="Calibri" w:hAnsi="Calibri" w:cs="Calibri"/>
        </w:rPr>
        <w:t>La última sección de resultados numéricos debe explicarse más</w:t>
      </w:r>
      <w:r>
        <w:rPr>
          <w:rFonts w:ascii="Calibri" w:hAnsi="Calibri" w:cs="Calibri"/>
        </w:rPr>
        <w:t xml:space="preserve"> y se </w:t>
      </w:r>
      <w:r w:rsidRPr="000E6C08">
        <w:rPr>
          <w:rFonts w:ascii="Calibri" w:hAnsi="Calibri" w:cs="Calibri"/>
        </w:rPr>
        <w:t xml:space="preserve">debe relacionar con las ecuaciones desarrolladas en el artículo. </w:t>
      </w:r>
    </w:p>
    <w:p w:rsidR="001307B5" w:rsidRDefault="001307B5" w:rsidP="009D5A18">
      <w:pPr>
        <w:pStyle w:val="ciudadyfecha0"/>
        <w:ind w:left="284"/>
        <w:jc w:val="both"/>
        <w:rPr>
          <w:rFonts w:ascii="Calibri" w:hAnsi="Calibri" w:cs="Calibri"/>
        </w:rPr>
      </w:pPr>
      <w:r w:rsidRPr="00D95916">
        <w:rPr>
          <w:rFonts w:ascii="Calibri" w:hAnsi="Calibri" w:cs="Calibri"/>
          <w:b/>
        </w:rPr>
        <w:lastRenderedPageBreak/>
        <w:t>R//</w:t>
      </w:r>
      <w:r>
        <w:rPr>
          <w:rFonts w:ascii="Calibri" w:hAnsi="Calibri" w:cs="Calibri"/>
        </w:rPr>
        <w:t xml:space="preserve"> En esta versión  hicimos hincapié en describir los resultados. En verde claro se encuentra esta descripción. </w:t>
      </w:r>
    </w:p>
    <w:p w:rsidR="001307B5" w:rsidRDefault="001307B5" w:rsidP="000E6C08">
      <w:pPr>
        <w:pStyle w:val="ciudadyfecha0"/>
        <w:numPr>
          <w:ilvl w:val="0"/>
          <w:numId w:val="20"/>
        </w:numPr>
        <w:jc w:val="both"/>
        <w:rPr>
          <w:rFonts w:ascii="Calibri" w:hAnsi="Calibri" w:cs="Calibri"/>
        </w:rPr>
      </w:pPr>
      <w:r>
        <w:rPr>
          <w:rFonts w:ascii="Calibri" w:hAnsi="Calibri" w:cs="Calibri"/>
        </w:rPr>
        <w:t xml:space="preserve">Algunos detalles de notación matemática que deben corregirse, pues son determinantes son los siguientes: </w:t>
      </w:r>
    </w:p>
    <w:p w:rsidR="001307B5" w:rsidRDefault="001307B5" w:rsidP="00FC328F">
      <w:pPr>
        <w:pStyle w:val="ciudadyfecha0"/>
        <w:numPr>
          <w:ilvl w:val="1"/>
          <w:numId w:val="20"/>
        </w:numPr>
        <w:jc w:val="both"/>
        <w:rPr>
          <w:rFonts w:ascii="Calibri" w:hAnsi="Calibri" w:cs="Calibri"/>
        </w:rPr>
      </w:pPr>
      <w:r w:rsidRPr="000E6C08">
        <w:rPr>
          <w:rFonts w:ascii="Calibri" w:hAnsi="Calibri" w:cs="Calibri"/>
        </w:rPr>
        <w:t xml:space="preserve">Se debe especificar que </w:t>
      </w:r>
      <w:r>
        <w:rPr>
          <w:rFonts w:ascii="Calibri" w:hAnsi="Calibri" w:cs="Calibri"/>
        </w:rPr>
        <w:t>‘X’</w:t>
      </w:r>
      <w:r w:rsidRPr="000E6C08">
        <w:rPr>
          <w:rFonts w:ascii="Calibri" w:hAnsi="Calibri" w:cs="Calibri"/>
        </w:rPr>
        <w:t xml:space="preserve"> pertenece a los reales.</w:t>
      </w:r>
    </w:p>
    <w:p w:rsidR="001307B5" w:rsidRPr="000E6C08" w:rsidRDefault="001307B5" w:rsidP="00C8182F">
      <w:pPr>
        <w:pStyle w:val="ciudadyfecha0"/>
        <w:ind w:left="1080"/>
        <w:jc w:val="both"/>
        <w:rPr>
          <w:rFonts w:ascii="Calibri" w:hAnsi="Calibri" w:cs="Calibri"/>
        </w:rPr>
      </w:pPr>
      <w:r w:rsidRPr="00D95916">
        <w:rPr>
          <w:rFonts w:ascii="Calibri" w:hAnsi="Calibri" w:cs="Calibri"/>
          <w:b/>
        </w:rPr>
        <w:t>R//</w:t>
      </w:r>
      <w:r>
        <w:rPr>
          <w:rFonts w:ascii="Calibri" w:hAnsi="Calibri" w:cs="Calibri"/>
        </w:rPr>
        <w:t xml:space="preserve"> Se ha </w:t>
      </w:r>
      <w:r w:rsidR="00D95916">
        <w:rPr>
          <w:rFonts w:ascii="Calibri" w:hAnsi="Calibri" w:cs="Calibri"/>
        </w:rPr>
        <w:t xml:space="preserve">corregido. </w:t>
      </w:r>
      <w:r>
        <w:rPr>
          <w:rFonts w:ascii="Calibri" w:hAnsi="Calibri" w:cs="Calibri"/>
        </w:rPr>
        <w:t>Se encuentra en color gris</w:t>
      </w:r>
    </w:p>
    <w:p w:rsidR="001307B5" w:rsidRDefault="001307B5" w:rsidP="00FC328F">
      <w:pPr>
        <w:pStyle w:val="ciudadyfecha0"/>
        <w:numPr>
          <w:ilvl w:val="1"/>
          <w:numId w:val="20"/>
        </w:numPr>
        <w:jc w:val="both"/>
        <w:rPr>
          <w:rFonts w:ascii="Calibri" w:hAnsi="Calibri" w:cs="Calibri"/>
        </w:rPr>
      </w:pPr>
      <w:r w:rsidRPr="000E6C08">
        <w:rPr>
          <w:rFonts w:ascii="Calibri" w:hAnsi="Calibri" w:cs="Calibri"/>
        </w:rPr>
        <w:t xml:space="preserve">En la página 3, se debe citar las ecuaciones (1)-(2)-(3)-(4) </w:t>
      </w:r>
      <w:r>
        <w:rPr>
          <w:rFonts w:ascii="Calibri" w:hAnsi="Calibri" w:cs="Calibri"/>
        </w:rPr>
        <w:t xml:space="preserve">y no solamente </w:t>
      </w:r>
      <w:r w:rsidRPr="000E6C08">
        <w:rPr>
          <w:rFonts w:ascii="Calibri" w:hAnsi="Calibri" w:cs="Calibri"/>
        </w:rPr>
        <w:t xml:space="preserve">la ecuación (4). </w:t>
      </w:r>
    </w:p>
    <w:p w:rsidR="001307B5" w:rsidRPr="000E6C08" w:rsidRDefault="001307B5" w:rsidP="00C8182F">
      <w:pPr>
        <w:pStyle w:val="ciudadyfecha0"/>
        <w:ind w:left="1080"/>
        <w:jc w:val="both"/>
        <w:rPr>
          <w:rFonts w:ascii="Calibri" w:hAnsi="Calibri" w:cs="Calibri"/>
        </w:rPr>
      </w:pPr>
      <w:r w:rsidRPr="00D95916">
        <w:rPr>
          <w:rFonts w:ascii="Calibri" w:hAnsi="Calibri" w:cs="Calibri"/>
          <w:b/>
        </w:rPr>
        <w:t>R//</w:t>
      </w:r>
      <w:r>
        <w:rPr>
          <w:rFonts w:ascii="Calibri" w:hAnsi="Calibri" w:cs="Calibri"/>
        </w:rPr>
        <w:t xml:space="preserve"> Se ha corregido. Se encuentra en color gris</w:t>
      </w:r>
    </w:p>
    <w:p w:rsidR="001307B5" w:rsidRDefault="001307B5" w:rsidP="00FC328F">
      <w:pPr>
        <w:pStyle w:val="ciudadyfecha0"/>
        <w:numPr>
          <w:ilvl w:val="1"/>
          <w:numId w:val="20"/>
        </w:numPr>
        <w:jc w:val="both"/>
        <w:rPr>
          <w:rFonts w:ascii="Calibri" w:hAnsi="Calibri" w:cs="Calibri"/>
        </w:rPr>
      </w:pPr>
      <w:r w:rsidRPr="000E6C08">
        <w:rPr>
          <w:rFonts w:ascii="Calibri" w:hAnsi="Calibri" w:cs="Calibri"/>
        </w:rPr>
        <w:t>El dominio de la integral de (7) debería aclararse.</w:t>
      </w:r>
    </w:p>
    <w:p w:rsidR="001307B5" w:rsidRPr="000E6C08" w:rsidRDefault="001307B5" w:rsidP="00C8182F">
      <w:pPr>
        <w:pStyle w:val="ciudadyfecha0"/>
        <w:ind w:left="1080"/>
        <w:jc w:val="both"/>
        <w:rPr>
          <w:rFonts w:ascii="Calibri" w:hAnsi="Calibri" w:cs="Calibri"/>
        </w:rPr>
      </w:pPr>
      <w:r w:rsidRPr="00D95916">
        <w:rPr>
          <w:rFonts w:ascii="Calibri" w:hAnsi="Calibri" w:cs="Calibri"/>
          <w:b/>
        </w:rPr>
        <w:t>R//</w:t>
      </w:r>
      <w:r>
        <w:rPr>
          <w:rFonts w:ascii="Calibri" w:hAnsi="Calibri" w:cs="Calibri"/>
        </w:rPr>
        <w:t xml:space="preserve"> Se ha hecho la corrección en color gris.</w:t>
      </w:r>
    </w:p>
    <w:p w:rsidR="001307B5" w:rsidRDefault="001307B5" w:rsidP="00FC328F">
      <w:pPr>
        <w:pStyle w:val="ciudadyfecha0"/>
        <w:numPr>
          <w:ilvl w:val="1"/>
          <w:numId w:val="20"/>
        </w:numPr>
        <w:jc w:val="both"/>
        <w:rPr>
          <w:rFonts w:ascii="Calibri" w:hAnsi="Calibri" w:cs="Calibri"/>
        </w:rPr>
      </w:pPr>
      <w:r w:rsidRPr="000E6C08">
        <w:rPr>
          <w:rFonts w:ascii="Calibri" w:hAnsi="Calibri" w:cs="Calibri"/>
        </w:rPr>
        <w:t>Revisar signos del paso de la ecuación (7) a la ecuación (8).</w:t>
      </w:r>
    </w:p>
    <w:p w:rsidR="001307B5" w:rsidRPr="000E6C08" w:rsidRDefault="001307B5" w:rsidP="00C8182F">
      <w:pPr>
        <w:pStyle w:val="ciudadyfecha0"/>
        <w:ind w:left="1080"/>
        <w:jc w:val="both"/>
        <w:rPr>
          <w:rFonts w:ascii="Calibri" w:hAnsi="Calibri" w:cs="Calibri"/>
        </w:rPr>
      </w:pPr>
      <w:r w:rsidRPr="00D95916">
        <w:rPr>
          <w:rFonts w:ascii="Calibri" w:hAnsi="Calibri" w:cs="Calibri"/>
          <w:b/>
        </w:rPr>
        <w:t>R//</w:t>
      </w:r>
      <w:r>
        <w:rPr>
          <w:rFonts w:ascii="Calibri" w:hAnsi="Calibri" w:cs="Calibri"/>
        </w:rPr>
        <w:t xml:space="preserve"> Los signos son correctos, de la </w:t>
      </w:r>
      <w:r w:rsidR="00D95916">
        <w:rPr>
          <w:rFonts w:ascii="Calibri" w:hAnsi="Calibri" w:cs="Calibri"/>
        </w:rPr>
        <w:t>ecuación</w:t>
      </w:r>
      <w:r>
        <w:rPr>
          <w:rFonts w:ascii="Calibri" w:hAnsi="Calibri" w:cs="Calibri"/>
        </w:rPr>
        <w:t xml:space="preserve"> (7) a la (8) se aplica el teorema de Green. Este comentario se ha dejado en gris.</w:t>
      </w:r>
    </w:p>
    <w:p w:rsidR="001307B5" w:rsidRDefault="001307B5" w:rsidP="00FC328F">
      <w:pPr>
        <w:pStyle w:val="ciudadyfecha0"/>
        <w:numPr>
          <w:ilvl w:val="1"/>
          <w:numId w:val="20"/>
        </w:numPr>
        <w:jc w:val="both"/>
        <w:rPr>
          <w:rFonts w:ascii="Calibri" w:hAnsi="Calibri" w:cs="Calibri"/>
        </w:rPr>
      </w:pPr>
      <w:r w:rsidRPr="000E6C08">
        <w:rPr>
          <w:rFonts w:ascii="Calibri" w:hAnsi="Calibri" w:cs="Calibri"/>
        </w:rPr>
        <w:t>La base utilizada en la ecuación (11) no es clara.</w:t>
      </w:r>
    </w:p>
    <w:p w:rsidR="001307B5" w:rsidRDefault="001307B5" w:rsidP="00E95E13">
      <w:pPr>
        <w:pStyle w:val="ciudadyfecha0"/>
        <w:ind w:left="1080"/>
        <w:jc w:val="both"/>
        <w:rPr>
          <w:rFonts w:ascii="Calibri" w:hAnsi="Calibri" w:cs="Calibri"/>
        </w:rPr>
      </w:pPr>
      <w:r w:rsidRPr="00D95916">
        <w:rPr>
          <w:rFonts w:ascii="Calibri" w:hAnsi="Calibri" w:cs="Calibri"/>
          <w:b/>
        </w:rPr>
        <w:t>R//</w:t>
      </w:r>
      <w:r>
        <w:rPr>
          <w:rFonts w:ascii="Calibri" w:hAnsi="Calibri" w:cs="Calibri"/>
        </w:rPr>
        <w:t xml:space="preserve"> Se ha corregido este problema. El texto es el siguiente:</w:t>
      </w:r>
    </w:p>
    <w:p w:rsidR="001307B5" w:rsidRPr="00BC5BD8" w:rsidRDefault="00D95916" w:rsidP="00E95E13">
      <w:pPr>
        <w:rPr>
          <w:rFonts w:eastAsia="Arial Unicode MS"/>
          <w:sz w:val="20"/>
          <w:szCs w:val="20"/>
          <w:lang w:val="es-ES_tradnl"/>
        </w:rPr>
      </w:pPr>
      <w:r w:rsidRPr="00B16D98">
        <w:rPr>
          <w:rFonts w:eastAsia="Arial Unicode MS"/>
          <w:sz w:val="20"/>
          <w:szCs w:val="20"/>
          <w:highlight w:val="lightGray"/>
        </w:rPr>
        <w:t>Donde</w:t>
      </w:r>
      <w:r w:rsidR="001307B5" w:rsidRPr="00B16D98">
        <w:rPr>
          <w:rFonts w:eastAsia="Arial Unicode MS"/>
          <w:sz w:val="20"/>
          <w:szCs w:val="20"/>
          <w:highlight w:val="lightGray"/>
        </w:rPr>
        <w:t xml:space="preserve"> </w:t>
      </w:r>
      <w:r w:rsidR="001307B5" w:rsidRPr="00B16D98">
        <w:rPr>
          <w:rFonts w:eastAsia="Arial Unicode MS"/>
          <w:position w:val="-12"/>
          <w:sz w:val="20"/>
          <w:szCs w:val="20"/>
          <w:highlight w:val="lightGray"/>
          <w:lang w:val="es-ES_tradnl"/>
        </w:rPr>
        <w:object w:dxaOrig="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17.4pt" o:ole="">
            <v:imagedata r:id="rId7" o:title=""/>
          </v:shape>
          <o:OLEObject Type="Embed" ProgID="Equation.3" ShapeID="_x0000_i1025" DrawAspect="Content" ObjectID="_1390983671" r:id="rId8"/>
        </w:object>
      </w:r>
      <w:proofErr w:type="gramStart"/>
      <w:r w:rsidR="001307B5" w:rsidRPr="00B16D98">
        <w:rPr>
          <w:rFonts w:eastAsia="Arial Unicode MS"/>
          <w:sz w:val="20"/>
          <w:szCs w:val="20"/>
          <w:highlight w:val="lightGray"/>
          <w:lang w:val="es-ES_tradnl"/>
        </w:rPr>
        <w:t xml:space="preserve">, </w:t>
      </w:r>
      <w:r w:rsidR="001307B5" w:rsidRPr="00B16D98">
        <w:rPr>
          <w:rFonts w:eastAsia="Arial Unicode MS"/>
          <w:position w:val="-12"/>
          <w:sz w:val="20"/>
          <w:szCs w:val="20"/>
          <w:highlight w:val="lightGray"/>
          <w:lang w:val="es-ES_tradnl"/>
        </w:rPr>
        <w:object w:dxaOrig="880" w:dyaOrig="360">
          <v:shape id="_x0000_i1026" type="#_x0000_t75" style="width:41.15pt;height:17.4pt" o:ole="">
            <v:imagedata r:id="rId9" o:title=""/>
          </v:shape>
          <o:OLEObject Type="Embed" ProgID="Equation.3" ShapeID="_x0000_i1026" DrawAspect="Content" ObjectID="_1390983672" r:id="rId10"/>
        </w:object>
      </w:r>
      <w:r w:rsidR="001307B5" w:rsidRPr="00B16D98">
        <w:rPr>
          <w:rFonts w:eastAsia="Arial Unicode MS"/>
          <w:sz w:val="20"/>
          <w:szCs w:val="20"/>
          <w:highlight w:val="lightGray"/>
          <w:lang w:val="es-ES_tradnl"/>
        </w:rPr>
        <w:t>,</w:t>
      </w:r>
      <w:proofErr w:type="gramEnd"/>
      <w:r w:rsidR="001307B5" w:rsidRPr="00B16D98">
        <w:rPr>
          <w:rFonts w:eastAsia="Arial Unicode MS"/>
          <w:sz w:val="20"/>
          <w:szCs w:val="20"/>
          <w:highlight w:val="lightGray"/>
          <w:lang w:val="es-ES_tradnl"/>
        </w:rPr>
        <w:t xml:space="preserve"> </w:t>
      </w:r>
      <w:r w:rsidR="001307B5" w:rsidRPr="00B16D98">
        <w:rPr>
          <w:rFonts w:eastAsia="Arial Unicode MS"/>
          <w:position w:val="-12"/>
          <w:sz w:val="20"/>
          <w:szCs w:val="20"/>
          <w:highlight w:val="lightGray"/>
          <w:lang w:val="es-ES_tradnl"/>
        </w:rPr>
        <w:object w:dxaOrig="900" w:dyaOrig="360">
          <v:shape id="_x0000_i1027" type="#_x0000_t75" style="width:42.75pt;height:17.4pt" o:ole="">
            <v:imagedata r:id="rId11" o:title=""/>
          </v:shape>
          <o:OLEObject Type="Embed" ProgID="Equation.3" ShapeID="_x0000_i1027" DrawAspect="Content" ObjectID="_1390983673" r:id="rId12"/>
        </w:object>
      </w:r>
      <w:r w:rsidR="001307B5" w:rsidRPr="00B16D98">
        <w:rPr>
          <w:rFonts w:eastAsia="Arial Unicode MS"/>
          <w:sz w:val="20"/>
          <w:szCs w:val="20"/>
          <w:highlight w:val="lightGray"/>
          <w:lang w:val="es-ES_tradnl"/>
        </w:rPr>
        <w:t xml:space="preserve"> son las funciones de forma, las cuales dependen únicamente del espacio empleado para formulación,</w:t>
      </w:r>
      <w:r w:rsidR="001307B5" w:rsidRPr="00B16D98">
        <w:rPr>
          <w:position w:val="-6"/>
          <w:sz w:val="20"/>
          <w:szCs w:val="20"/>
          <w:highlight w:val="lightGray"/>
        </w:rPr>
        <w:object w:dxaOrig="200" w:dyaOrig="220">
          <v:shape id="_x0000_i1028" type="#_x0000_t75" style="width:9.5pt;height:11.1pt" o:ole="">
            <v:imagedata r:id="rId13" o:title=""/>
          </v:shape>
          <o:OLEObject Type="Embed" ProgID="Equation.3" ShapeID="_x0000_i1028" DrawAspect="Content" ObjectID="_1390983674" r:id="rId14"/>
        </w:object>
      </w:r>
      <w:r w:rsidR="001307B5" w:rsidRPr="00B16D98">
        <w:rPr>
          <w:sz w:val="20"/>
          <w:szCs w:val="20"/>
          <w:highlight w:val="lightGray"/>
        </w:rPr>
        <w:t xml:space="preserve"> y </w:t>
      </w:r>
      <w:r w:rsidR="001307B5" w:rsidRPr="00B16D98">
        <w:rPr>
          <w:rFonts w:eastAsia="Arial Unicode MS"/>
          <w:position w:val="-6"/>
          <w:sz w:val="20"/>
          <w:szCs w:val="20"/>
          <w:highlight w:val="lightGray"/>
          <w:lang w:val="es-ES_tradnl"/>
        </w:rPr>
        <w:object w:dxaOrig="200" w:dyaOrig="220">
          <v:shape id="_x0000_i1029" type="#_x0000_t75" style="width:9.5pt;height:10.3pt" o:ole="">
            <v:imagedata r:id="rId15" o:title=""/>
          </v:shape>
          <o:OLEObject Type="Embed" ProgID="Equation.3" ShapeID="_x0000_i1029" DrawAspect="Content" ObjectID="_1390983675" r:id="rId16"/>
        </w:object>
      </w:r>
      <w:r w:rsidR="001307B5" w:rsidRPr="00B16D98">
        <w:rPr>
          <w:rFonts w:eastAsia="Arial Unicode MS"/>
          <w:sz w:val="20"/>
          <w:szCs w:val="20"/>
          <w:highlight w:val="lightGray"/>
          <w:lang w:val="es-ES_tradnl"/>
        </w:rPr>
        <w:t xml:space="preserve">son los valores de </w:t>
      </w:r>
      <w:r w:rsidR="001307B5" w:rsidRPr="00B16D98">
        <w:rPr>
          <w:rFonts w:eastAsia="Arial Unicode MS"/>
          <w:i/>
          <w:iCs/>
          <w:sz w:val="20"/>
          <w:szCs w:val="20"/>
          <w:highlight w:val="lightGray"/>
          <w:lang w:val="es-ES_tradnl"/>
        </w:rPr>
        <w:t>u y v</w:t>
      </w:r>
      <w:r w:rsidR="001307B5" w:rsidRPr="00B16D98">
        <w:rPr>
          <w:rFonts w:eastAsia="Arial Unicode MS"/>
          <w:sz w:val="20"/>
          <w:szCs w:val="20"/>
          <w:highlight w:val="lightGray"/>
          <w:lang w:val="es-ES_tradnl"/>
        </w:rPr>
        <w:t xml:space="preserve"> en los puntos nodales, en tanto que el superíndice </w:t>
      </w:r>
      <w:r w:rsidR="001307B5" w:rsidRPr="00B16D98">
        <w:rPr>
          <w:rFonts w:eastAsia="Arial Unicode MS"/>
          <w:i/>
          <w:iCs/>
          <w:sz w:val="20"/>
          <w:szCs w:val="20"/>
          <w:highlight w:val="lightGray"/>
          <w:lang w:val="es-ES_tradnl"/>
        </w:rPr>
        <w:t>h</w:t>
      </w:r>
      <w:r w:rsidR="001307B5" w:rsidRPr="00B16D98">
        <w:rPr>
          <w:rFonts w:eastAsia="Arial Unicode MS"/>
          <w:sz w:val="20"/>
          <w:szCs w:val="20"/>
          <w:highlight w:val="lightGray"/>
          <w:lang w:val="es-ES_tradnl"/>
        </w:rPr>
        <w:t xml:space="preserve"> indica la </w:t>
      </w:r>
      <w:proofErr w:type="spellStart"/>
      <w:r w:rsidR="001307B5" w:rsidRPr="00B16D98">
        <w:rPr>
          <w:rFonts w:eastAsia="Arial Unicode MS"/>
          <w:sz w:val="20"/>
          <w:szCs w:val="20"/>
          <w:highlight w:val="lightGray"/>
          <w:lang w:val="es-ES_tradnl"/>
        </w:rPr>
        <w:t>discretización</w:t>
      </w:r>
      <w:proofErr w:type="spellEnd"/>
      <w:r w:rsidR="001307B5" w:rsidRPr="00B16D98">
        <w:rPr>
          <w:rFonts w:eastAsia="Arial Unicode MS"/>
          <w:sz w:val="20"/>
          <w:szCs w:val="20"/>
          <w:highlight w:val="lightGray"/>
          <w:lang w:val="es-ES_tradnl"/>
        </w:rPr>
        <w:t xml:space="preserve"> de la variable en elementos finitos. En este caso, se ha utilizado una interpolación de carácter lineal. Para el caso de </w:t>
      </w:r>
      <w:r w:rsidRPr="00B16D98">
        <w:rPr>
          <w:rFonts w:eastAsia="Arial Unicode MS"/>
          <w:sz w:val="20"/>
          <w:szCs w:val="20"/>
          <w:highlight w:val="lightGray"/>
          <w:lang w:val="es-ES_tradnl"/>
        </w:rPr>
        <w:t>cuadriláteros</w:t>
      </w:r>
      <w:r w:rsidR="001307B5" w:rsidRPr="00B16D98">
        <w:rPr>
          <w:rFonts w:eastAsia="Arial Unicode MS"/>
          <w:sz w:val="20"/>
          <w:szCs w:val="20"/>
          <w:highlight w:val="lightGray"/>
          <w:lang w:val="es-ES_tradnl"/>
        </w:rPr>
        <w:t xml:space="preserve"> se utilizan elementos bilineales como se describe en [14]</w:t>
      </w:r>
    </w:p>
    <w:p w:rsidR="001307B5" w:rsidRDefault="001307B5" w:rsidP="00FC328F">
      <w:pPr>
        <w:pStyle w:val="ciudadyfecha0"/>
        <w:numPr>
          <w:ilvl w:val="1"/>
          <w:numId w:val="20"/>
        </w:numPr>
        <w:jc w:val="both"/>
        <w:rPr>
          <w:rFonts w:ascii="Calibri" w:hAnsi="Calibri" w:cs="Calibri"/>
        </w:rPr>
      </w:pPr>
      <w:r w:rsidRPr="000E6C08">
        <w:rPr>
          <w:rFonts w:ascii="Calibri" w:hAnsi="Calibri" w:cs="Calibri"/>
        </w:rPr>
        <w:t xml:space="preserve">No </w:t>
      </w:r>
      <w:r>
        <w:rPr>
          <w:rFonts w:ascii="Calibri" w:hAnsi="Calibri" w:cs="Calibri"/>
        </w:rPr>
        <w:t xml:space="preserve">son </w:t>
      </w:r>
      <w:r w:rsidRPr="000E6C08">
        <w:rPr>
          <w:rFonts w:ascii="Calibri" w:hAnsi="Calibri" w:cs="Calibri"/>
        </w:rPr>
        <w:t>claro</w:t>
      </w:r>
      <w:r>
        <w:rPr>
          <w:rFonts w:ascii="Calibri" w:hAnsi="Calibri" w:cs="Calibri"/>
        </w:rPr>
        <w:t>s</w:t>
      </w:r>
      <w:r w:rsidRPr="000E6C08">
        <w:rPr>
          <w:rFonts w:ascii="Calibri" w:hAnsi="Calibri" w:cs="Calibri"/>
        </w:rPr>
        <w:t xml:space="preserve"> los parámetros utilizados </w:t>
      </w:r>
      <w:r>
        <w:rPr>
          <w:rFonts w:ascii="Calibri" w:hAnsi="Calibri" w:cs="Calibri"/>
        </w:rPr>
        <w:t xml:space="preserve">en </w:t>
      </w:r>
      <w:r w:rsidRPr="000E6C08">
        <w:rPr>
          <w:rFonts w:ascii="Calibri" w:hAnsi="Calibri" w:cs="Calibri"/>
        </w:rPr>
        <w:t>la</w:t>
      </w:r>
      <w:r>
        <w:rPr>
          <w:rFonts w:ascii="Calibri" w:hAnsi="Calibri" w:cs="Calibri"/>
        </w:rPr>
        <w:t>s ecuacio</w:t>
      </w:r>
      <w:r w:rsidRPr="000E6C08">
        <w:rPr>
          <w:rFonts w:ascii="Calibri" w:hAnsi="Calibri" w:cs="Calibri"/>
        </w:rPr>
        <w:t>n</w:t>
      </w:r>
      <w:r>
        <w:rPr>
          <w:rFonts w:ascii="Calibri" w:hAnsi="Calibri" w:cs="Calibri"/>
        </w:rPr>
        <w:t>es</w:t>
      </w:r>
      <w:r w:rsidRPr="000E6C08">
        <w:rPr>
          <w:rFonts w:ascii="Calibri" w:hAnsi="Calibri" w:cs="Calibri"/>
        </w:rPr>
        <w:t xml:space="preserve"> (21) y (22).</w:t>
      </w:r>
    </w:p>
    <w:p w:rsidR="001307B5" w:rsidRDefault="001307B5" w:rsidP="00E95E13">
      <w:pPr>
        <w:pStyle w:val="ciudadyfecha0"/>
        <w:ind w:left="1080"/>
        <w:jc w:val="both"/>
        <w:rPr>
          <w:rFonts w:ascii="Calibri" w:hAnsi="Calibri" w:cs="Calibri"/>
        </w:rPr>
      </w:pPr>
      <w:r w:rsidRPr="00D95916">
        <w:rPr>
          <w:rFonts w:ascii="Calibri" w:hAnsi="Calibri" w:cs="Calibri"/>
          <w:b/>
        </w:rPr>
        <w:t>R//</w:t>
      </w:r>
      <w:r>
        <w:rPr>
          <w:rFonts w:ascii="Calibri" w:hAnsi="Calibri" w:cs="Calibri"/>
        </w:rPr>
        <w:t xml:space="preserve"> Se ha incluido un breve comentario al respecto:</w:t>
      </w:r>
    </w:p>
    <w:p w:rsidR="001307B5" w:rsidRPr="00B16D98" w:rsidRDefault="001307B5" w:rsidP="00E95E13">
      <w:pPr>
        <w:rPr>
          <w:sz w:val="20"/>
          <w:szCs w:val="20"/>
          <w:highlight w:val="lightGray"/>
        </w:rPr>
      </w:pPr>
      <w:r w:rsidRPr="00B16D98">
        <w:rPr>
          <w:rFonts w:eastAsia="Arial Unicode MS"/>
          <w:sz w:val="20"/>
          <w:szCs w:val="20"/>
          <w:highlight w:val="lightGray"/>
        </w:rPr>
        <w:t xml:space="preserve">En el problema aquí desarrollado, las variables estocásticas </w:t>
      </w:r>
      <w:r w:rsidRPr="00B16D98">
        <w:rPr>
          <w:sz w:val="20"/>
          <w:szCs w:val="20"/>
          <w:highlight w:val="lightGray"/>
        </w:rPr>
        <w:t>(1</w:t>
      </w:r>
      <w:proofErr w:type="gramStart"/>
      <w:r w:rsidRPr="00B16D98">
        <w:rPr>
          <w:sz w:val="20"/>
          <w:szCs w:val="20"/>
          <w:highlight w:val="lightGray"/>
        </w:rPr>
        <w:t xml:space="preserve">, </w:t>
      </w:r>
      <w:r w:rsidRPr="00B16D98">
        <w:rPr>
          <w:position w:val="-6"/>
          <w:sz w:val="20"/>
          <w:szCs w:val="20"/>
          <w:highlight w:val="lightGray"/>
          <w:lang w:eastAsia="en-US"/>
        </w:rPr>
        <w:object w:dxaOrig="220" w:dyaOrig="279">
          <v:shape id="_x0000_i1030" type="#_x0000_t75" style="width:11.1pt;height:14.25pt" o:ole="">
            <v:imagedata r:id="rId17" o:title=""/>
          </v:shape>
          <o:OLEObject Type="Embed" ProgID="Equation.3" ShapeID="_x0000_i1030" DrawAspect="Content" ObjectID="_1390983676" r:id="rId18"/>
        </w:object>
      </w:r>
      <w:r w:rsidRPr="00B16D98">
        <w:rPr>
          <w:sz w:val="20"/>
          <w:szCs w:val="20"/>
          <w:highlight w:val="lightGray"/>
          <w:lang w:eastAsia="en-US"/>
        </w:rPr>
        <w:t>,</w:t>
      </w:r>
      <w:proofErr w:type="gramEnd"/>
      <w:r w:rsidRPr="00B16D98">
        <w:rPr>
          <w:sz w:val="20"/>
          <w:szCs w:val="20"/>
          <w:highlight w:val="lightGray"/>
          <w:lang w:eastAsia="en-US"/>
        </w:rPr>
        <w:t xml:space="preserve"> </w:t>
      </w:r>
      <w:r w:rsidRPr="00B16D98">
        <w:rPr>
          <w:position w:val="-6"/>
          <w:sz w:val="20"/>
          <w:szCs w:val="20"/>
          <w:highlight w:val="lightGray"/>
        </w:rPr>
        <w:object w:dxaOrig="200" w:dyaOrig="220">
          <v:shape id="_x0000_i1031" type="#_x0000_t75" style="width:9.5pt;height:11.1pt" o:ole="">
            <v:imagedata r:id="rId19" o:title=""/>
          </v:shape>
          <o:OLEObject Type="Embed" ProgID="Equation.3" ShapeID="_x0000_i1031" DrawAspect="Content" ObjectID="_1390983677" r:id="rId20"/>
        </w:object>
      </w:r>
      <w:r w:rsidRPr="00B16D98">
        <w:rPr>
          <w:sz w:val="20"/>
          <w:szCs w:val="20"/>
          <w:highlight w:val="lightGray"/>
          <w:lang w:eastAsia="en-US"/>
        </w:rPr>
        <w:t xml:space="preserve"> y </w:t>
      </w:r>
      <w:r w:rsidRPr="00B16D98">
        <w:rPr>
          <w:rFonts w:eastAsia="Arial Unicode MS"/>
          <w:position w:val="-6"/>
          <w:sz w:val="20"/>
          <w:szCs w:val="20"/>
          <w:highlight w:val="lightGray"/>
        </w:rPr>
        <w:object w:dxaOrig="200" w:dyaOrig="279">
          <v:shape id="_x0000_i1032" type="#_x0000_t75" style="width:8.7pt;height:12.65pt" o:ole="">
            <v:imagedata r:id="rId21" o:title=""/>
          </v:shape>
          <o:OLEObject Type="Embed" ProgID="Equation.3" ShapeID="_x0000_i1032" DrawAspect="Content" ObjectID="_1390983678" r:id="rId22"/>
        </w:object>
      </w:r>
      <w:r w:rsidRPr="00B16D98">
        <w:rPr>
          <w:sz w:val="20"/>
          <w:szCs w:val="20"/>
          <w:highlight w:val="lightGray"/>
        </w:rPr>
        <w:t xml:space="preserve">) dadas en (15) se pueden expresar según (18), (19) y (20). Por tanto, el coeficiente de difusión de valor unitario dado en la primera </w:t>
      </w:r>
      <w:proofErr w:type="spellStart"/>
      <w:r w:rsidRPr="00B16D98">
        <w:rPr>
          <w:sz w:val="20"/>
          <w:szCs w:val="20"/>
          <w:highlight w:val="lightGray"/>
        </w:rPr>
        <w:t>ecuacion</w:t>
      </w:r>
      <w:proofErr w:type="spellEnd"/>
      <w:r w:rsidRPr="00B16D98">
        <w:rPr>
          <w:sz w:val="20"/>
          <w:szCs w:val="20"/>
          <w:highlight w:val="lightGray"/>
        </w:rPr>
        <w:t xml:space="preserve"> de (15) se puede expresar como (18</w:t>
      </w:r>
      <w:proofErr w:type="gramStart"/>
      <w:r w:rsidRPr="00B16D98">
        <w:rPr>
          <w:sz w:val="20"/>
          <w:szCs w:val="20"/>
          <w:highlight w:val="lightGray"/>
        </w:rPr>
        <w:t>) :</w:t>
      </w:r>
      <w:proofErr w:type="gramEnd"/>
    </w:p>
    <w:tbl>
      <w:tblPr>
        <w:tblW w:w="0" w:type="auto"/>
        <w:tblLook w:val="01E0"/>
      </w:tblPr>
      <w:tblGrid>
        <w:gridCol w:w="7763"/>
        <w:gridCol w:w="881"/>
      </w:tblGrid>
      <w:tr w:rsidR="001307B5" w:rsidRPr="00B16D98" w:rsidTr="00235AF3">
        <w:trPr>
          <w:trHeight w:val="758"/>
        </w:trPr>
        <w:tc>
          <w:tcPr>
            <w:tcW w:w="7763" w:type="dxa"/>
          </w:tcPr>
          <w:p w:rsidR="001307B5" w:rsidRPr="00B16D98" w:rsidRDefault="001307B5" w:rsidP="00235AF3">
            <w:pPr>
              <w:ind w:left="2124" w:hanging="2124"/>
              <w:jc w:val="center"/>
              <w:rPr>
                <w:sz w:val="20"/>
                <w:szCs w:val="20"/>
                <w:highlight w:val="lightGray"/>
                <w:lang w:val="es-CO"/>
              </w:rPr>
            </w:pPr>
            <w:r w:rsidRPr="00B16D98">
              <w:rPr>
                <w:rFonts w:eastAsia="Arial Unicode MS"/>
                <w:position w:val="-32"/>
                <w:sz w:val="20"/>
                <w:szCs w:val="20"/>
                <w:highlight w:val="lightGray"/>
              </w:rPr>
              <w:object w:dxaOrig="3919" w:dyaOrig="804">
                <v:shape id="_x0000_i1033" type="#_x0000_t75" style="width:182pt;height:38pt" o:ole="">
                  <v:imagedata r:id="rId23" o:title=""/>
                </v:shape>
                <o:OLEObject Type="Embed" ProgID="Equation.3" ShapeID="_x0000_i1033" DrawAspect="Content" ObjectID="_1390983679" r:id="rId24"/>
              </w:object>
            </w:r>
          </w:p>
        </w:tc>
        <w:tc>
          <w:tcPr>
            <w:tcW w:w="881" w:type="dxa"/>
          </w:tcPr>
          <w:p w:rsidR="001307B5" w:rsidRPr="00B16D98" w:rsidRDefault="001307B5" w:rsidP="00235AF3">
            <w:pPr>
              <w:jc w:val="right"/>
              <w:rPr>
                <w:sz w:val="20"/>
                <w:szCs w:val="20"/>
                <w:highlight w:val="lightGray"/>
                <w:lang w:val="es-CO"/>
              </w:rPr>
            </w:pPr>
            <w:r w:rsidRPr="00B16D98">
              <w:rPr>
                <w:sz w:val="20"/>
                <w:szCs w:val="20"/>
                <w:highlight w:val="lightGray"/>
                <w:lang w:val="es-CO"/>
              </w:rPr>
              <w:t xml:space="preserve">    (18)</w:t>
            </w:r>
          </w:p>
        </w:tc>
      </w:tr>
    </w:tbl>
    <w:p w:rsidR="001307B5" w:rsidRPr="00B16D98" w:rsidRDefault="001307B5" w:rsidP="00E95E13">
      <w:pPr>
        <w:rPr>
          <w:rFonts w:eastAsia="Arial Unicode MS"/>
          <w:sz w:val="20"/>
          <w:szCs w:val="20"/>
          <w:highlight w:val="lightGray"/>
        </w:rPr>
      </w:pPr>
      <w:r w:rsidRPr="00B16D98">
        <w:rPr>
          <w:rFonts w:eastAsia="Arial Unicode MS"/>
          <w:sz w:val="20"/>
          <w:szCs w:val="20"/>
          <w:highlight w:val="lightGray"/>
        </w:rPr>
        <w:t xml:space="preserve">Para el caso del coeficiente de difusión de la segunda </w:t>
      </w:r>
      <w:proofErr w:type="spellStart"/>
      <w:r w:rsidRPr="00B16D98">
        <w:rPr>
          <w:rFonts w:eastAsia="Arial Unicode MS"/>
          <w:sz w:val="20"/>
          <w:szCs w:val="20"/>
          <w:highlight w:val="lightGray"/>
        </w:rPr>
        <w:t>ecuacion</w:t>
      </w:r>
      <w:proofErr w:type="spellEnd"/>
      <w:r w:rsidRPr="00B16D98">
        <w:rPr>
          <w:rFonts w:eastAsia="Arial Unicode MS"/>
          <w:sz w:val="20"/>
          <w:szCs w:val="20"/>
          <w:highlight w:val="lightGray"/>
        </w:rPr>
        <w:t xml:space="preserve"> de  se tiene (15) se tiene (19):</w:t>
      </w:r>
    </w:p>
    <w:tbl>
      <w:tblPr>
        <w:tblW w:w="0" w:type="auto"/>
        <w:tblLook w:val="01E0"/>
      </w:tblPr>
      <w:tblGrid>
        <w:gridCol w:w="7763"/>
        <w:gridCol w:w="881"/>
      </w:tblGrid>
      <w:tr w:rsidR="001307B5" w:rsidRPr="00B16D98" w:rsidTr="00235AF3">
        <w:trPr>
          <w:trHeight w:val="758"/>
        </w:trPr>
        <w:tc>
          <w:tcPr>
            <w:tcW w:w="7763" w:type="dxa"/>
          </w:tcPr>
          <w:p w:rsidR="001307B5" w:rsidRPr="00B16D98" w:rsidRDefault="001307B5" w:rsidP="00235AF3">
            <w:pPr>
              <w:ind w:left="2124" w:hanging="2124"/>
              <w:jc w:val="center"/>
              <w:rPr>
                <w:sz w:val="20"/>
                <w:szCs w:val="20"/>
                <w:highlight w:val="lightGray"/>
                <w:lang w:val="es-CO"/>
              </w:rPr>
            </w:pPr>
            <w:r w:rsidRPr="00B16D98">
              <w:rPr>
                <w:rFonts w:eastAsia="Arial Unicode MS"/>
                <w:position w:val="-32"/>
                <w:sz w:val="20"/>
                <w:szCs w:val="20"/>
                <w:highlight w:val="lightGray"/>
              </w:rPr>
              <w:object w:dxaOrig="3640" w:dyaOrig="720">
                <v:shape id="_x0000_i1034" type="#_x0000_t75" style="width:169.3pt;height:33.25pt" o:ole="">
                  <v:imagedata r:id="rId25" o:title=""/>
                </v:shape>
                <o:OLEObject Type="Embed" ProgID="Equation.3" ShapeID="_x0000_i1034" DrawAspect="Content" ObjectID="_1390983680" r:id="rId26"/>
              </w:object>
            </w:r>
          </w:p>
        </w:tc>
        <w:tc>
          <w:tcPr>
            <w:tcW w:w="881" w:type="dxa"/>
          </w:tcPr>
          <w:p w:rsidR="001307B5" w:rsidRPr="00B16D98" w:rsidRDefault="001307B5" w:rsidP="00235AF3">
            <w:pPr>
              <w:jc w:val="right"/>
              <w:rPr>
                <w:sz w:val="20"/>
                <w:szCs w:val="20"/>
                <w:highlight w:val="lightGray"/>
                <w:lang w:val="es-CO"/>
              </w:rPr>
            </w:pPr>
            <w:r w:rsidRPr="00B16D98">
              <w:rPr>
                <w:sz w:val="20"/>
                <w:szCs w:val="20"/>
                <w:highlight w:val="lightGray"/>
                <w:lang w:val="es-CO"/>
              </w:rPr>
              <w:t xml:space="preserve">    (19)</w:t>
            </w:r>
          </w:p>
        </w:tc>
      </w:tr>
    </w:tbl>
    <w:p w:rsidR="001307B5" w:rsidRPr="00B16D98" w:rsidRDefault="001307B5" w:rsidP="00E95E13">
      <w:pPr>
        <w:rPr>
          <w:rFonts w:eastAsia="Arial Unicode MS"/>
          <w:sz w:val="20"/>
          <w:szCs w:val="20"/>
          <w:highlight w:val="lightGray"/>
        </w:rPr>
      </w:pPr>
      <w:r w:rsidRPr="00B16D98">
        <w:rPr>
          <w:rFonts w:eastAsia="Arial Unicode MS"/>
          <w:sz w:val="20"/>
          <w:szCs w:val="20"/>
          <w:highlight w:val="lightGray"/>
        </w:rPr>
        <w:t xml:space="preserve">Y en el caso de los coeficientes cinéticos de reacción </w:t>
      </w:r>
      <w:r w:rsidRPr="00B16D98">
        <w:rPr>
          <w:rFonts w:eastAsia="Arial Unicode MS"/>
          <w:i/>
          <w:iCs/>
          <w:sz w:val="20"/>
          <w:szCs w:val="20"/>
          <w:highlight w:val="lightGray"/>
        </w:rPr>
        <w:t>a y b</w:t>
      </w:r>
      <w:r w:rsidRPr="00B16D98">
        <w:rPr>
          <w:rFonts w:eastAsia="Arial Unicode MS"/>
          <w:sz w:val="20"/>
          <w:szCs w:val="20"/>
          <w:highlight w:val="lightGray"/>
        </w:rPr>
        <w:t>, se puede hacer una expansión para cada una así  (20):</w:t>
      </w:r>
    </w:p>
    <w:tbl>
      <w:tblPr>
        <w:tblW w:w="0" w:type="auto"/>
        <w:tblLook w:val="01E0"/>
      </w:tblPr>
      <w:tblGrid>
        <w:gridCol w:w="7763"/>
        <w:gridCol w:w="881"/>
      </w:tblGrid>
      <w:tr w:rsidR="001307B5" w:rsidRPr="00B16D98" w:rsidTr="00235AF3">
        <w:trPr>
          <w:trHeight w:val="758"/>
        </w:trPr>
        <w:tc>
          <w:tcPr>
            <w:tcW w:w="7763" w:type="dxa"/>
          </w:tcPr>
          <w:p w:rsidR="001307B5" w:rsidRPr="00B16D98" w:rsidRDefault="001307B5" w:rsidP="00235AF3">
            <w:pPr>
              <w:ind w:left="2124" w:hanging="2124"/>
              <w:jc w:val="center"/>
              <w:rPr>
                <w:sz w:val="20"/>
                <w:szCs w:val="20"/>
                <w:highlight w:val="lightGray"/>
                <w:lang w:val="es-CO"/>
              </w:rPr>
            </w:pPr>
            <w:r w:rsidRPr="00B16D98">
              <w:rPr>
                <w:rFonts w:eastAsia="Arial Unicode MS"/>
                <w:position w:val="-66"/>
                <w:sz w:val="20"/>
                <w:szCs w:val="20"/>
                <w:highlight w:val="lightGray"/>
              </w:rPr>
              <w:object w:dxaOrig="4428" w:dyaOrig="1566">
                <v:shape id="_x0000_i1035" type="#_x0000_t75" style="width:205.7pt;height:72.8pt" o:ole="">
                  <v:imagedata r:id="rId27" o:title=""/>
                </v:shape>
                <o:OLEObject Type="Embed" ProgID="Equation.3" ShapeID="_x0000_i1035" DrawAspect="Content" ObjectID="_1390983681" r:id="rId28"/>
              </w:object>
            </w:r>
          </w:p>
        </w:tc>
        <w:tc>
          <w:tcPr>
            <w:tcW w:w="881" w:type="dxa"/>
          </w:tcPr>
          <w:p w:rsidR="001307B5" w:rsidRPr="00B16D98" w:rsidRDefault="001307B5" w:rsidP="00235AF3">
            <w:pPr>
              <w:jc w:val="right"/>
              <w:rPr>
                <w:sz w:val="20"/>
                <w:szCs w:val="20"/>
                <w:highlight w:val="lightGray"/>
                <w:lang w:val="es-CO"/>
              </w:rPr>
            </w:pPr>
            <w:r w:rsidRPr="00B16D98">
              <w:rPr>
                <w:sz w:val="20"/>
                <w:szCs w:val="20"/>
                <w:highlight w:val="lightGray"/>
                <w:lang w:val="es-CO"/>
              </w:rPr>
              <w:t xml:space="preserve">    (20)</w:t>
            </w:r>
          </w:p>
        </w:tc>
      </w:tr>
    </w:tbl>
    <w:p w:rsidR="001307B5" w:rsidRPr="00BC5BD8" w:rsidRDefault="001307B5" w:rsidP="00E95E13">
      <w:pPr>
        <w:rPr>
          <w:rFonts w:eastAsia="Arial Unicode MS"/>
          <w:sz w:val="20"/>
          <w:szCs w:val="20"/>
        </w:rPr>
      </w:pPr>
      <w:r w:rsidRPr="00B16D98">
        <w:rPr>
          <w:rFonts w:eastAsia="Arial Unicode MS"/>
          <w:sz w:val="20"/>
          <w:szCs w:val="20"/>
          <w:highlight w:val="lightGray"/>
        </w:rPr>
        <w:t xml:space="preserve">Las funciones </w:t>
      </w:r>
      <w:r w:rsidRPr="00B16D98">
        <w:rPr>
          <w:position w:val="-14"/>
          <w:sz w:val="20"/>
          <w:szCs w:val="20"/>
          <w:highlight w:val="lightGray"/>
        </w:rPr>
        <w:object w:dxaOrig="600" w:dyaOrig="380">
          <v:shape id="_x0000_i1036" type="#_x0000_t75" style="width:30.05pt;height:18.2pt" o:ole="">
            <v:imagedata r:id="rId29" o:title=""/>
          </v:shape>
          <o:OLEObject Type="Embed" ProgID="Equation.3" ShapeID="_x0000_i1036" DrawAspect="Content" ObjectID="_1390983682" r:id="rId30"/>
        </w:object>
      </w:r>
      <w:proofErr w:type="gramStart"/>
      <w:r w:rsidRPr="00B16D98">
        <w:rPr>
          <w:sz w:val="20"/>
          <w:szCs w:val="20"/>
          <w:highlight w:val="lightGray"/>
        </w:rPr>
        <w:t xml:space="preserve">, </w:t>
      </w:r>
      <w:r w:rsidRPr="00B16D98">
        <w:rPr>
          <w:position w:val="-14"/>
          <w:sz w:val="20"/>
          <w:szCs w:val="20"/>
          <w:highlight w:val="lightGray"/>
        </w:rPr>
        <w:object w:dxaOrig="680" w:dyaOrig="380">
          <v:shape id="_x0000_i1037" type="#_x0000_t75" style="width:34pt;height:18.2pt" o:ole="">
            <v:imagedata r:id="rId31" o:title=""/>
          </v:shape>
          <o:OLEObject Type="Embed" ProgID="Equation.3" ShapeID="_x0000_i1037" DrawAspect="Content" ObjectID="_1390983683" r:id="rId32"/>
        </w:object>
      </w:r>
      <w:r w:rsidRPr="00B16D98">
        <w:rPr>
          <w:sz w:val="20"/>
          <w:szCs w:val="20"/>
          <w:highlight w:val="lightGray"/>
        </w:rPr>
        <w:t>,</w:t>
      </w:r>
      <w:proofErr w:type="gramEnd"/>
      <w:r w:rsidRPr="00B16D98">
        <w:rPr>
          <w:sz w:val="20"/>
          <w:szCs w:val="20"/>
          <w:highlight w:val="lightGray"/>
        </w:rPr>
        <w:t xml:space="preserve"> </w:t>
      </w:r>
      <w:r w:rsidRPr="00B16D98">
        <w:rPr>
          <w:position w:val="-14"/>
          <w:sz w:val="20"/>
          <w:szCs w:val="20"/>
          <w:highlight w:val="lightGray"/>
        </w:rPr>
        <w:object w:dxaOrig="340" w:dyaOrig="380">
          <v:shape id="_x0000_i1038" type="#_x0000_t75" style="width:16.6pt;height:18.2pt" o:ole="">
            <v:imagedata r:id="rId33" o:title=""/>
          </v:shape>
          <o:OLEObject Type="Embed" ProgID="Equation.3" ShapeID="_x0000_i1038" DrawAspect="Content" ObjectID="_1390983684" r:id="rId34"/>
        </w:object>
      </w:r>
      <w:r w:rsidRPr="00B16D98">
        <w:rPr>
          <w:sz w:val="20"/>
          <w:szCs w:val="20"/>
          <w:highlight w:val="lightGray"/>
        </w:rPr>
        <w:t xml:space="preserve"> y </w:t>
      </w:r>
      <w:r w:rsidRPr="00B16D98">
        <w:rPr>
          <w:position w:val="-14"/>
          <w:sz w:val="20"/>
          <w:szCs w:val="20"/>
          <w:highlight w:val="lightGray"/>
        </w:rPr>
        <w:object w:dxaOrig="639" w:dyaOrig="380">
          <v:shape id="_x0000_i1039" type="#_x0000_t75" style="width:31.65pt;height:18.2pt" o:ole="">
            <v:imagedata r:id="rId35" o:title=""/>
          </v:shape>
          <o:OLEObject Type="Embed" ProgID="Equation.3" ShapeID="_x0000_i1039" DrawAspect="Content" ObjectID="_1390983685" r:id="rId36"/>
        </w:object>
      </w:r>
      <w:r w:rsidRPr="00B16D98">
        <w:rPr>
          <w:sz w:val="20"/>
          <w:szCs w:val="20"/>
          <w:highlight w:val="lightGray"/>
        </w:rPr>
        <w:t xml:space="preserve"> corresponden a las </w:t>
      </w:r>
      <w:proofErr w:type="spellStart"/>
      <w:r w:rsidRPr="00B16D98">
        <w:rPr>
          <w:sz w:val="20"/>
          <w:szCs w:val="20"/>
          <w:highlight w:val="lightGray"/>
        </w:rPr>
        <w:t>autofunciones</w:t>
      </w:r>
      <w:proofErr w:type="spellEnd"/>
      <w:r w:rsidRPr="00B16D98">
        <w:rPr>
          <w:sz w:val="20"/>
          <w:szCs w:val="20"/>
          <w:highlight w:val="lightGray"/>
        </w:rPr>
        <w:t xml:space="preserve"> de la función de covarianza de la variable de campo. Igualmente, los valores </w:t>
      </w:r>
      <w:r w:rsidRPr="00B16D98">
        <w:rPr>
          <w:position w:val="-14"/>
          <w:sz w:val="20"/>
          <w:szCs w:val="20"/>
          <w:highlight w:val="lightGray"/>
        </w:rPr>
        <w:object w:dxaOrig="340" w:dyaOrig="400">
          <v:shape id="_x0000_i1040" type="#_x0000_t75" style="width:16.6pt;height:20.55pt" o:ole="">
            <v:imagedata r:id="rId37" o:title=""/>
          </v:shape>
          <o:OLEObject Type="Embed" ProgID="Equation.3" ShapeID="_x0000_i1040" DrawAspect="Content" ObjectID="_1390983686" r:id="rId38"/>
        </w:object>
      </w:r>
      <w:proofErr w:type="gramStart"/>
      <w:r w:rsidRPr="00B16D98">
        <w:rPr>
          <w:sz w:val="20"/>
          <w:szCs w:val="20"/>
          <w:highlight w:val="lightGray"/>
        </w:rPr>
        <w:t xml:space="preserve">, </w:t>
      </w:r>
      <w:r w:rsidRPr="00B16D98">
        <w:rPr>
          <w:position w:val="-14"/>
          <w:sz w:val="20"/>
          <w:szCs w:val="20"/>
          <w:highlight w:val="lightGray"/>
        </w:rPr>
        <w:object w:dxaOrig="360" w:dyaOrig="400">
          <v:shape id="_x0000_i1041" type="#_x0000_t75" style="width:18.2pt;height:20.55pt" o:ole="">
            <v:imagedata r:id="rId39" o:title=""/>
          </v:shape>
          <o:OLEObject Type="Embed" ProgID="Equation.3" ShapeID="_x0000_i1041" DrawAspect="Content" ObjectID="_1390983687" r:id="rId40"/>
        </w:object>
      </w:r>
      <w:r w:rsidRPr="00B16D98">
        <w:rPr>
          <w:sz w:val="20"/>
          <w:szCs w:val="20"/>
          <w:highlight w:val="lightGray"/>
        </w:rPr>
        <w:t>,</w:t>
      </w:r>
      <w:proofErr w:type="gramEnd"/>
      <w:r w:rsidRPr="00B16D98">
        <w:rPr>
          <w:sz w:val="20"/>
          <w:szCs w:val="20"/>
          <w:highlight w:val="lightGray"/>
        </w:rPr>
        <w:t xml:space="preserve">  </w:t>
      </w:r>
      <w:r w:rsidRPr="00B16D98">
        <w:rPr>
          <w:position w:val="-14"/>
          <w:sz w:val="20"/>
          <w:szCs w:val="20"/>
          <w:highlight w:val="lightGray"/>
        </w:rPr>
        <w:object w:dxaOrig="360" w:dyaOrig="400">
          <v:shape id="_x0000_i1042" type="#_x0000_t75" style="width:18.2pt;height:20.55pt" o:ole="">
            <v:imagedata r:id="rId41" o:title=""/>
          </v:shape>
          <o:OLEObject Type="Embed" ProgID="Equation.3" ShapeID="_x0000_i1042" DrawAspect="Content" ObjectID="_1390983688" r:id="rId42"/>
        </w:object>
      </w:r>
      <w:r w:rsidRPr="00B16D98">
        <w:rPr>
          <w:sz w:val="20"/>
          <w:szCs w:val="20"/>
          <w:highlight w:val="lightGray"/>
        </w:rPr>
        <w:t xml:space="preserve"> y </w:t>
      </w:r>
      <w:r w:rsidRPr="00B16D98">
        <w:rPr>
          <w:position w:val="-14"/>
          <w:sz w:val="20"/>
          <w:szCs w:val="20"/>
          <w:highlight w:val="lightGray"/>
        </w:rPr>
        <w:object w:dxaOrig="340" w:dyaOrig="400">
          <v:shape id="_x0000_i1043" type="#_x0000_t75" style="width:16.6pt;height:20.55pt" o:ole="">
            <v:imagedata r:id="rId43" o:title=""/>
          </v:shape>
          <o:OLEObject Type="Embed" ProgID="Equation.3" ShapeID="_x0000_i1043" DrawAspect="Content" ObjectID="_1390983689" r:id="rId44"/>
        </w:object>
      </w:r>
      <w:r w:rsidRPr="00B16D98">
        <w:rPr>
          <w:sz w:val="20"/>
          <w:szCs w:val="20"/>
          <w:highlight w:val="lightGray"/>
        </w:rPr>
        <w:t xml:space="preserve"> son los </w:t>
      </w:r>
      <w:proofErr w:type="spellStart"/>
      <w:r w:rsidRPr="00B16D98">
        <w:rPr>
          <w:sz w:val="20"/>
          <w:szCs w:val="20"/>
          <w:highlight w:val="lightGray"/>
        </w:rPr>
        <w:t>autovalores</w:t>
      </w:r>
      <w:proofErr w:type="spellEnd"/>
      <w:r w:rsidRPr="00B16D98">
        <w:rPr>
          <w:sz w:val="20"/>
          <w:szCs w:val="20"/>
          <w:highlight w:val="lightGray"/>
        </w:rPr>
        <w:t xml:space="preserve">. De esta forma, cada conjunto de </w:t>
      </w:r>
      <w:proofErr w:type="spellStart"/>
      <w:r w:rsidRPr="00B16D98">
        <w:rPr>
          <w:sz w:val="20"/>
          <w:szCs w:val="20"/>
          <w:highlight w:val="lightGray"/>
        </w:rPr>
        <w:t>autofunciones</w:t>
      </w:r>
      <w:proofErr w:type="spellEnd"/>
      <w:r w:rsidRPr="00B16D98">
        <w:rPr>
          <w:sz w:val="20"/>
          <w:szCs w:val="20"/>
          <w:highlight w:val="lightGray"/>
        </w:rPr>
        <w:t xml:space="preserve"> y </w:t>
      </w:r>
      <w:proofErr w:type="spellStart"/>
      <w:r w:rsidRPr="00B16D98">
        <w:rPr>
          <w:sz w:val="20"/>
          <w:szCs w:val="20"/>
          <w:highlight w:val="lightGray"/>
        </w:rPr>
        <w:t>autovalores</w:t>
      </w:r>
      <w:proofErr w:type="spellEnd"/>
      <w:r w:rsidRPr="00B16D98">
        <w:rPr>
          <w:sz w:val="20"/>
          <w:szCs w:val="20"/>
          <w:highlight w:val="lightGray"/>
        </w:rPr>
        <w:t xml:space="preserve">, conforman el denominado </w:t>
      </w:r>
      <w:proofErr w:type="spellStart"/>
      <w:r w:rsidRPr="00B16D98">
        <w:rPr>
          <w:sz w:val="20"/>
          <w:szCs w:val="20"/>
          <w:highlight w:val="lightGray"/>
        </w:rPr>
        <w:t>autopar</w:t>
      </w:r>
      <w:proofErr w:type="spellEnd"/>
      <w:r w:rsidRPr="00B16D98">
        <w:rPr>
          <w:sz w:val="20"/>
          <w:szCs w:val="20"/>
          <w:highlight w:val="lightGray"/>
        </w:rPr>
        <w:t xml:space="preserve"> [41].</w:t>
      </w:r>
    </w:p>
    <w:p w:rsidR="001307B5" w:rsidRPr="000E6C08" w:rsidRDefault="001307B5" w:rsidP="00E95E13">
      <w:pPr>
        <w:pStyle w:val="ciudadyfecha0"/>
        <w:ind w:left="1080"/>
        <w:jc w:val="both"/>
        <w:rPr>
          <w:rFonts w:ascii="Calibri" w:hAnsi="Calibri" w:cs="Calibri"/>
        </w:rPr>
      </w:pPr>
    </w:p>
    <w:sectPr w:rsidR="001307B5" w:rsidRPr="000E6C08" w:rsidSect="008E6443">
      <w:pgSz w:w="12240" w:h="15840" w:code="1"/>
      <w:pgMar w:top="1701" w:right="1418" w:bottom="1418" w:left="1678" w:header="720"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77E" w:rsidRDefault="00CD277E">
      <w:r>
        <w:separator/>
      </w:r>
    </w:p>
  </w:endnote>
  <w:endnote w:type="continuationSeparator" w:id="0">
    <w:p w:rsidR="00CD277E" w:rsidRDefault="00CD27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77E" w:rsidRDefault="00CD277E">
      <w:r>
        <w:separator/>
      </w:r>
    </w:p>
  </w:footnote>
  <w:footnote w:type="continuationSeparator" w:id="0">
    <w:p w:rsidR="00CD277E" w:rsidRDefault="00CD2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nsid w:val="14BA4A19"/>
    <w:multiLevelType w:val="hybridMultilevel"/>
    <w:tmpl w:val="DAEE62A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19C72A16"/>
    <w:multiLevelType w:val="hybridMultilevel"/>
    <w:tmpl w:val="AAC61486"/>
    <w:lvl w:ilvl="0" w:tplc="240A0001">
      <w:start w:val="1"/>
      <w:numFmt w:val="bullet"/>
      <w:lvlText w:val=""/>
      <w:lvlJc w:val="left"/>
      <w:pPr>
        <w:ind w:left="144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F6E0878"/>
    <w:multiLevelType w:val="hybridMultilevel"/>
    <w:tmpl w:val="CD48E6AC"/>
    <w:lvl w:ilvl="0" w:tplc="240A000D">
      <w:start w:val="1"/>
      <w:numFmt w:val="bullet"/>
      <w:lvlText w:val=""/>
      <w:lvlJc w:val="left"/>
      <w:pPr>
        <w:ind w:left="1077" w:hanging="360"/>
      </w:pPr>
      <w:rPr>
        <w:rFonts w:ascii="Wingdings" w:hAnsi="Wingdings" w:cs="Wingdings"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cs="Wingdings" w:hint="default"/>
      </w:rPr>
    </w:lvl>
    <w:lvl w:ilvl="3" w:tplc="04090001">
      <w:start w:val="1"/>
      <w:numFmt w:val="bullet"/>
      <w:lvlText w:val=""/>
      <w:lvlJc w:val="left"/>
      <w:pPr>
        <w:ind w:left="3237" w:hanging="360"/>
      </w:pPr>
      <w:rPr>
        <w:rFonts w:ascii="Symbol" w:hAnsi="Symbol" w:cs="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cs="Wingdings" w:hint="default"/>
      </w:rPr>
    </w:lvl>
    <w:lvl w:ilvl="6" w:tplc="04090001">
      <w:start w:val="1"/>
      <w:numFmt w:val="bullet"/>
      <w:lvlText w:val=""/>
      <w:lvlJc w:val="left"/>
      <w:pPr>
        <w:ind w:left="5397" w:hanging="360"/>
      </w:pPr>
      <w:rPr>
        <w:rFonts w:ascii="Symbol" w:hAnsi="Symbol" w:cs="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cs="Wingdings" w:hint="default"/>
      </w:rPr>
    </w:lvl>
  </w:abstractNum>
  <w:abstractNum w:abstractNumId="4">
    <w:nsid w:val="260D0BE9"/>
    <w:multiLevelType w:val="hybridMultilevel"/>
    <w:tmpl w:val="51EAD40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0740A4F"/>
    <w:multiLevelType w:val="hybridMultilevel"/>
    <w:tmpl w:val="927034E2"/>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6">
    <w:nsid w:val="3B9202C3"/>
    <w:multiLevelType w:val="hybridMultilevel"/>
    <w:tmpl w:val="9182D45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B705DDF"/>
    <w:multiLevelType w:val="hybridMultilevel"/>
    <w:tmpl w:val="0038BF0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nsid w:val="4BF237F2"/>
    <w:multiLevelType w:val="hybridMultilevel"/>
    <w:tmpl w:val="F8BE417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nsid w:val="5E64637A"/>
    <w:multiLevelType w:val="hybridMultilevel"/>
    <w:tmpl w:val="2BA2636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63CE0F90"/>
    <w:multiLevelType w:val="hybridMultilevel"/>
    <w:tmpl w:val="577A4584"/>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1">
    <w:nsid w:val="66256417"/>
    <w:multiLevelType w:val="hybridMultilevel"/>
    <w:tmpl w:val="1A161C1C"/>
    <w:lvl w:ilvl="0" w:tplc="04090001">
      <w:start w:val="1"/>
      <w:numFmt w:val="bullet"/>
      <w:lvlText w:val=""/>
      <w:lvlJc w:val="left"/>
      <w:pPr>
        <w:ind w:left="1077" w:hanging="360"/>
      </w:pPr>
      <w:rPr>
        <w:rFonts w:ascii="Symbol" w:hAnsi="Symbol" w:cs="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cs="Wingdings" w:hint="default"/>
      </w:rPr>
    </w:lvl>
    <w:lvl w:ilvl="3" w:tplc="04090001">
      <w:start w:val="1"/>
      <w:numFmt w:val="bullet"/>
      <w:lvlText w:val=""/>
      <w:lvlJc w:val="left"/>
      <w:pPr>
        <w:ind w:left="3237" w:hanging="360"/>
      </w:pPr>
      <w:rPr>
        <w:rFonts w:ascii="Symbol" w:hAnsi="Symbol" w:cs="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cs="Wingdings" w:hint="default"/>
      </w:rPr>
    </w:lvl>
    <w:lvl w:ilvl="6" w:tplc="04090001">
      <w:start w:val="1"/>
      <w:numFmt w:val="bullet"/>
      <w:lvlText w:val=""/>
      <w:lvlJc w:val="left"/>
      <w:pPr>
        <w:ind w:left="5397" w:hanging="360"/>
      </w:pPr>
      <w:rPr>
        <w:rFonts w:ascii="Symbol" w:hAnsi="Symbol" w:cs="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cs="Wingdings" w:hint="default"/>
      </w:rPr>
    </w:lvl>
  </w:abstractNum>
  <w:abstractNum w:abstractNumId="12">
    <w:nsid w:val="66562E42"/>
    <w:multiLevelType w:val="hybridMultilevel"/>
    <w:tmpl w:val="C666F3E0"/>
    <w:lvl w:ilvl="0" w:tplc="240A0009">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ABA2BD7"/>
    <w:multiLevelType w:val="hybridMultilevel"/>
    <w:tmpl w:val="494C5B36"/>
    <w:lvl w:ilvl="0" w:tplc="5F7CACDE">
      <w:start w:val="1"/>
      <w:numFmt w:val="decimal"/>
      <w:lvlText w:val="%1."/>
      <w:lvlJc w:val="left"/>
      <w:pPr>
        <w:ind w:left="1068" w:hanging="360"/>
      </w:pPr>
      <w:rPr>
        <w:rFonts w:hint="default"/>
        <w:i/>
        <w:iCs/>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4">
    <w:nsid w:val="6CA26319"/>
    <w:multiLevelType w:val="hybridMultilevel"/>
    <w:tmpl w:val="F0DCAFA6"/>
    <w:lvl w:ilvl="0" w:tplc="240A000D">
      <w:start w:val="1"/>
      <w:numFmt w:val="bullet"/>
      <w:lvlText w:val=""/>
      <w:lvlJc w:val="left"/>
      <w:pPr>
        <w:ind w:left="1440" w:hanging="360"/>
      </w:pPr>
      <w:rPr>
        <w:rFonts w:ascii="Wingdings" w:hAnsi="Wingdings" w:cs="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cs="Wingdings" w:hint="default"/>
      </w:rPr>
    </w:lvl>
    <w:lvl w:ilvl="3" w:tplc="240A0001">
      <w:start w:val="1"/>
      <w:numFmt w:val="bullet"/>
      <w:lvlText w:val=""/>
      <w:lvlJc w:val="left"/>
      <w:pPr>
        <w:ind w:left="3600" w:hanging="360"/>
      </w:pPr>
      <w:rPr>
        <w:rFonts w:ascii="Symbol" w:hAnsi="Symbol" w:cs="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cs="Wingdings" w:hint="default"/>
      </w:rPr>
    </w:lvl>
    <w:lvl w:ilvl="6" w:tplc="240A0001">
      <w:start w:val="1"/>
      <w:numFmt w:val="bullet"/>
      <w:lvlText w:val=""/>
      <w:lvlJc w:val="left"/>
      <w:pPr>
        <w:ind w:left="5760" w:hanging="360"/>
      </w:pPr>
      <w:rPr>
        <w:rFonts w:ascii="Symbol" w:hAnsi="Symbol" w:cs="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cs="Wingdings" w:hint="default"/>
      </w:rPr>
    </w:lvl>
  </w:abstractNum>
  <w:abstractNum w:abstractNumId="15">
    <w:nsid w:val="770C639D"/>
    <w:multiLevelType w:val="hybridMultilevel"/>
    <w:tmpl w:val="B4B2B8F2"/>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6">
    <w:nsid w:val="7A060C83"/>
    <w:multiLevelType w:val="hybridMultilevel"/>
    <w:tmpl w:val="5CBAC88A"/>
    <w:lvl w:ilvl="0" w:tplc="240A000D">
      <w:start w:val="1"/>
      <w:numFmt w:val="bullet"/>
      <w:lvlText w:val=""/>
      <w:lvlJc w:val="left"/>
      <w:pPr>
        <w:ind w:left="1080" w:hanging="360"/>
      </w:pPr>
      <w:rPr>
        <w:rFonts w:ascii="Wingdings" w:hAnsi="Wingdings" w:cs="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cs="Wingdings" w:hint="default"/>
      </w:rPr>
    </w:lvl>
    <w:lvl w:ilvl="3" w:tplc="240A0001">
      <w:start w:val="1"/>
      <w:numFmt w:val="bullet"/>
      <w:lvlText w:val=""/>
      <w:lvlJc w:val="left"/>
      <w:pPr>
        <w:ind w:left="3240" w:hanging="360"/>
      </w:pPr>
      <w:rPr>
        <w:rFonts w:ascii="Symbol" w:hAnsi="Symbol" w:cs="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cs="Wingdings" w:hint="default"/>
      </w:rPr>
    </w:lvl>
    <w:lvl w:ilvl="6" w:tplc="240A0001">
      <w:start w:val="1"/>
      <w:numFmt w:val="bullet"/>
      <w:lvlText w:val=""/>
      <w:lvlJc w:val="left"/>
      <w:pPr>
        <w:ind w:left="5400" w:hanging="360"/>
      </w:pPr>
      <w:rPr>
        <w:rFonts w:ascii="Symbol" w:hAnsi="Symbol" w:cs="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cs="Wingdings" w:hint="default"/>
      </w:rPr>
    </w:lvl>
  </w:abstractNum>
  <w:abstractNum w:abstractNumId="17">
    <w:nsid w:val="7B5E057A"/>
    <w:multiLevelType w:val="hybridMultilevel"/>
    <w:tmpl w:val="8B0A7B2E"/>
    <w:lvl w:ilvl="0" w:tplc="240A0001">
      <w:start w:val="1"/>
      <w:numFmt w:val="bullet"/>
      <w:lvlText w:val=""/>
      <w:lvlJc w:val="left"/>
      <w:pPr>
        <w:ind w:left="144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nsid w:val="7F6066C8"/>
    <w:multiLevelType w:val="hybridMultilevel"/>
    <w:tmpl w:val="8ED0233E"/>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9">
    <w:nsid w:val="7FBF2986"/>
    <w:multiLevelType w:val="hybridMultilevel"/>
    <w:tmpl w:val="71903B7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17"/>
  </w:num>
  <w:num w:numId="3">
    <w:abstractNumId w:val="9"/>
  </w:num>
  <w:num w:numId="4">
    <w:abstractNumId w:val="4"/>
  </w:num>
  <w:num w:numId="5">
    <w:abstractNumId w:val="8"/>
  </w:num>
  <w:num w:numId="6">
    <w:abstractNumId w:val="1"/>
  </w:num>
  <w:num w:numId="7">
    <w:abstractNumId w:val="19"/>
  </w:num>
  <w:num w:numId="8">
    <w:abstractNumId w:val="7"/>
  </w:num>
  <w:num w:numId="9">
    <w:abstractNumId w:val="6"/>
  </w:num>
  <w:num w:numId="10">
    <w:abstractNumId w:val="12"/>
  </w:num>
  <w:num w:numId="11">
    <w:abstractNumId w:val="13"/>
  </w:num>
  <w:num w:numId="12">
    <w:abstractNumId w:val="18"/>
  </w:num>
  <w:num w:numId="13">
    <w:abstractNumId w:val="15"/>
  </w:num>
  <w:num w:numId="14">
    <w:abstractNumId w:val="16"/>
  </w:num>
  <w:num w:numId="15">
    <w:abstractNumId w:val="5"/>
  </w:num>
  <w:num w:numId="16">
    <w:abstractNumId w:val="14"/>
  </w:num>
  <w:num w:numId="17">
    <w:abstractNumId w:val="11"/>
  </w:num>
  <w:num w:numId="18">
    <w:abstractNumId w:val="3"/>
  </w:num>
  <w:num w:numId="19">
    <w:abstractNumId w:val="1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D77"/>
    <w:rsid w:val="00003347"/>
    <w:rsid w:val="00015349"/>
    <w:rsid w:val="0002086C"/>
    <w:rsid w:val="00027359"/>
    <w:rsid w:val="000478A6"/>
    <w:rsid w:val="0005670A"/>
    <w:rsid w:val="000725CF"/>
    <w:rsid w:val="00077DD3"/>
    <w:rsid w:val="000854CB"/>
    <w:rsid w:val="00085DA2"/>
    <w:rsid w:val="000A1FC9"/>
    <w:rsid w:val="000B3BB3"/>
    <w:rsid w:val="000D707C"/>
    <w:rsid w:val="000D7364"/>
    <w:rsid w:val="000E0754"/>
    <w:rsid w:val="000E563B"/>
    <w:rsid w:val="000E6C08"/>
    <w:rsid w:val="000F0A51"/>
    <w:rsid w:val="000F6223"/>
    <w:rsid w:val="00102347"/>
    <w:rsid w:val="001045DD"/>
    <w:rsid w:val="00111570"/>
    <w:rsid w:val="00113A76"/>
    <w:rsid w:val="001223EA"/>
    <w:rsid w:val="001224A0"/>
    <w:rsid w:val="00124AB4"/>
    <w:rsid w:val="001307B5"/>
    <w:rsid w:val="00131B65"/>
    <w:rsid w:val="00133457"/>
    <w:rsid w:val="00135016"/>
    <w:rsid w:val="00135AB3"/>
    <w:rsid w:val="00135C50"/>
    <w:rsid w:val="0015493A"/>
    <w:rsid w:val="00172991"/>
    <w:rsid w:val="00186D0A"/>
    <w:rsid w:val="0019439C"/>
    <w:rsid w:val="001970F0"/>
    <w:rsid w:val="001A5B22"/>
    <w:rsid w:val="001C157D"/>
    <w:rsid w:val="001D4A70"/>
    <w:rsid w:val="001E170B"/>
    <w:rsid w:val="001E7D77"/>
    <w:rsid w:val="001F0AB5"/>
    <w:rsid w:val="001F2397"/>
    <w:rsid w:val="002143EF"/>
    <w:rsid w:val="00224FBE"/>
    <w:rsid w:val="00234841"/>
    <w:rsid w:val="00235AF3"/>
    <w:rsid w:val="002422FD"/>
    <w:rsid w:val="00243C7A"/>
    <w:rsid w:val="002515D3"/>
    <w:rsid w:val="00264DD1"/>
    <w:rsid w:val="0029133D"/>
    <w:rsid w:val="002B2490"/>
    <w:rsid w:val="002C2874"/>
    <w:rsid w:val="002C40E6"/>
    <w:rsid w:val="002C5643"/>
    <w:rsid w:val="002E4854"/>
    <w:rsid w:val="002F1C66"/>
    <w:rsid w:val="002F47E5"/>
    <w:rsid w:val="0031033C"/>
    <w:rsid w:val="00313288"/>
    <w:rsid w:val="00314802"/>
    <w:rsid w:val="0032274F"/>
    <w:rsid w:val="003332CC"/>
    <w:rsid w:val="0034477E"/>
    <w:rsid w:val="00362C3A"/>
    <w:rsid w:val="00364A50"/>
    <w:rsid w:val="00374A57"/>
    <w:rsid w:val="003938AA"/>
    <w:rsid w:val="00395BAD"/>
    <w:rsid w:val="00396526"/>
    <w:rsid w:val="003A4221"/>
    <w:rsid w:val="003B111A"/>
    <w:rsid w:val="003C2215"/>
    <w:rsid w:val="003C7BDE"/>
    <w:rsid w:val="003D0278"/>
    <w:rsid w:val="003E79D7"/>
    <w:rsid w:val="003F44DC"/>
    <w:rsid w:val="00404E86"/>
    <w:rsid w:val="00405B0D"/>
    <w:rsid w:val="0044759C"/>
    <w:rsid w:val="00450C22"/>
    <w:rsid w:val="004556B7"/>
    <w:rsid w:val="00465413"/>
    <w:rsid w:val="00477A84"/>
    <w:rsid w:val="00486B52"/>
    <w:rsid w:val="00487C44"/>
    <w:rsid w:val="00495127"/>
    <w:rsid w:val="004A1246"/>
    <w:rsid w:val="004A29D8"/>
    <w:rsid w:val="004B2978"/>
    <w:rsid w:val="004C1E1D"/>
    <w:rsid w:val="004E242A"/>
    <w:rsid w:val="00501D3D"/>
    <w:rsid w:val="00501DB0"/>
    <w:rsid w:val="00504916"/>
    <w:rsid w:val="00514310"/>
    <w:rsid w:val="0055659A"/>
    <w:rsid w:val="00561C82"/>
    <w:rsid w:val="00566167"/>
    <w:rsid w:val="00574FDC"/>
    <w:rsid w:val="00582DA8"/>
    <w:rsid w:val="0058536B"/>
    <w:rsid w:val="00585C66"/>
    <w:rsid w:val="005A091F"/>
    <w:rsid w:val="005A1483"/>
    <w:rsid w:val="005A234E"/>
    <w:rsid w:val="005B72C4"/>
    <w:rsid w:val="005D62A1"/>
    <w:rsid w:val="00611083"/>
    <w:rsid w:val="00621994"/>
    <w:rsid w:val="00623DA7"/>
    <w:rsid w:val="00636418"/>
    <w:rsid w:val="006547AB"/>
    <w:rsid w:val="00661EB6"/>
    <w:rsid w:val="00676B14"/>
    <w:rsid w:val="00695C73"/>
    <w:rsid w:val="006A51CA"/>
    <w:rsid w:val="006B11B7"/>
    <w:rsid w:val="006B59AB"/>
    <w:rsid w:val="006D012B"/>
    <w:rsid w:val="006E4C7E"/>
    <w:rsid w:val="006F561B"/>
    <w:rsid w:val="00720A8C"/>
    <w:rsid w:val="00725ED1"/>
    <w:rsid w:val="00731032"/>
    <w:rsid w:val="0073542D"/>
    <w:rsid w:val="00744FFA"/>
    <w:rsid w:val="00745017"/>
    <w:rsid w:val="00746121"/>
    <w:rsid w:val="007547AE"/>
    <w:rsid w:val="0077173B"/>
    <w:rsid w:val="0077621C"/>
    <w:rsid w:val="0078373F"/>
    <w:rsid w:val="007A69BC"/>
    <w:rsid w:val="007A71B7"/>
    <w:rsid w:val="007C3F75"/>
    <w:rsid w:val="007F5CD4"/>
    <w:rsid w:val="007F71E4"/>
    <w:rsid w:val="00804CDF"/>
    <w:rsid w:val="00824765"/>
    <w:rsid w:val="00865769"/>
    <w:rsid w:val="00866496"/>
    <w:rsid w:val="00866B7E"/>
    <w:rsid w:val="00881DE1"/>
    <w:rsid w:val="00882153"/>
    <w:rsid w:val="00885A34"/>
    <w:rsid w:val="00896232"/>
    <w:rsid w:val="008B600C"/>
    <w:rsid w:val="008C3D66"/>
    <w:rsid w:val="008E4313"/>
    <w:rsid w:val="008E6443"/>
    <w:rsid w:val="00906BF3"/>
    <w:rsid w:val="00914FA6"/>
    <w:rsid w:val="00920E18"/>
    <w:rsid w:val="00933D71"/>
    <w:rsid w:val="00934B44"/>
    <w:rsid w:val="00936026"/>
    <w:rsid w:val="00942897"/>
    <w:rsid w:val="009678D3"/>
    <w:rsid w:val="009A0ED3"/>
    <w:rsid w:val="009B4ABA"/>
    <w:rsid w:val="009C2E77"/>
    <w:rsid w:val="009C5D74"/>
    <w:rsid w:val="009D5A18"/>
    <w:rsid w:val="009E0A90"/>
    <w:rsid w:val="009E7185"/>
    <w:rsid w:val="009E74AC"/>
    <w:rsid w:val="00A12B3A"/>
    <w:rsid w:val="00A12D14"/>
    <w:rsid w:val="00A14531"/>
    <w:rsid w:val="00A45C48"/>
    <w:rsid w:val="00A63960"/>
    <w:rsid w:val="00A67DFC"/>
    <w:rsid w:val="00A865A9"/>
    <w:rsid w:val="00AA671F"/>
    <w:rsid w:val="00AB4480"/>
    <w:rsid w:val="00AC78B2"/>
    <w:rsid w:val="00AE2DF5"/>
    <w:rsid w:val="00AE4154"/>
    <w:rsid w:val="00AE6F11"/>
    <w:rsid w:val="00AE72E5"/>
    <w:rsid w:val="00AF3FB0"/>
    <w:rsid w:val="00AF7D9D"/>
    <w:rsid w:val="00B138BA"/>
    <w:rsid w:val="00B16D98"/>
    <w:rsid w:val="00B3412B"/>
    <w:rsid w:val="00B51C51"/>
    <w:rsid w:val="00B5428D"/>
    <w:rsid w:val="00B67AB7"/>
    <w:rsid w:val="00B73EB4"/>
    <w:rsid w:val="00B80DA9"/>
    <w:rsid w:val="00B8457C"/>
    <w:rsid w:val="00B938C9"/>
    <w:rsid w:val="00B96D99"/>
    <w:rsid w:val="00B96DD5"/>
    <w:rsid w:val="00BA1422"/>
    <w:rsid w:val="00BA6029"/>
    <w:rsid w:val="00BA7BC6"/>
    <w:rsid w:val="00BC5BD8"/>
    <w:rsid w:val="00BD214F"/>
    <w:rsid w:val="00BE3064"/>
    <w:rsid w:val="00BE6633"/>
    <w:rsid w:val="00C06CFB"/>
    <w:rsid w:val="00C13459"/>
    <w:rsid w:val="00C153DB"/>
    <w:rsid w:val="00C15F90"/>
    <w:rsid w:val="00C21586"/>
    <w:rsid w:val="00C25860"/>
    <w:rsid w:val="00C40D4B"/>
    <w:rsid w:val="00C4766C"/>
    <w:rsid w:val="00C745FC"/>
    <w:rsid w:val="00C8182F"/>
    <w:rsid w:val="00C840E2"/>
    <w:rsid w:val="00C93302"/>
    <w:rsid w:val="00C93C0A"/>
    <w:rsid w:val="00C958E4"/>
    <w:rsid w:val="00CA3892"/>
    <w:rsid w:val="00CA6633"/>
    <w:rsid w:val="00CC3627"/>
    <w:rsid w:val="00CC6E68"/>
    <w:rsid w:val="00CD277E"/>
    <w:rsid w:val="00CD3A89"/>
    <w:rsid w:val="00CD5D9F"/>
    <w:rsid w:val="00CD71C7"/>
    <w:rsid w:val="00CD769A"/>
    <w:rsid w:val="00CE3E5A"/>
    <w:rsid w:val="00CF11F8"/>
    <w:rsid w:val="00CF357A"/>
    <w:rsid w:val="00D02949"/>
    <w:rsid w:val="00D25D42"/>
    <w:rsid w:val="00D27945"/>
    <w:rsid w:val="00D3491A"/>
    <w:rsid w:val="00D47F0A"/>
    <w:rsid w:val="00D570CA"/>
    <w:rsid w:val="00D61F22"/>
    <w:rsid w:val="00D71694"/>
    <w:rsid w:val="00D90125"/>
    <w:rsid w:val="00D95916"/>
    <w:rsid w:val="00DB3EE1"/>
    <w:rsid w:val="00DC3D9D"/>
    <w:rsid w:val="00DD0C29"/>
    <w:rsid w:val="00DF08B6"/>
    <w:rsid w:val="00E1060B"/>
    <w:rsid w:val="00E14C6A"/>
    <w:rsid w:val="00E207FE"/>
    <w:rsid w:val="00E26FE4"/>
    <w:rsid w:val="00E46D84"/>
    <w:rsid w:val="00E50198"/>
    <w:rsid w:val="00E5040A"/>
    <w:rsid w:val="00E512A3"/>
    <w:rsid w:val="00E669E6"/>
    <w:rsid w:val="00E9429C"/>
    <w:rsid w:val="00E95E13"/>
    <w:rsid w:val="00E96CDE"/>
    <w:rsid w:val="00EA13FA"/>
    <w:rsid w:val="00EC46D9"/>
    <w:rsid w:val="00ED2D07"/>
    <w:rsid w:val="00ED7070"/>
    <w:rsid w:val="00ED73D5"/>
    <w:rsid w:val="00ED74D4"/>
    <w:rsid w:val="00EF2114"/>
    <w:rsid w:val="00EF723F"/>
    <w:rsid w:val="00F11128"/>
    <w:rsid w:val="00F33FFE"/>
    <w:rsid w:val="00F44A8D"/>
    <w:rsid w:val="00F47CE6"/>
    <w:rsid w:val="00F6145A"/>
    <w:rsid w:val="00F631A9"/>
    <w:rsid w:val="00F92B2B"/>
    <w:rsid w:val="00F9676E"/>
    <w:rsid w:val="00FA5C1D"/>
    <w:rsid w:val="00FB03C7"/>
    <w:rsid w:val="00FC02C2"/>
    <w:rsid w:val="00FC328F"/>
    <w:rsid w:val="00FC4B1D"/>
    <w:rsid w:val="00FD41AA"/>
    <w:rsid w:val="00FE6E27"/>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7"/>
    <w:rPr>
      <w:spacing w:val="-3"/>
      <w:sz w:val="24"/>
      <w:szCs w:val="24"/>
      <w:lang w:val="es-ES" w:eastAsia="es-ES"/>
    </w:rPr>
  </w:style>
  <w:style w:type="paragraph" w:styleId="Ttulo1">
    <w:name w:val="heading 1"/>
    <w:basedOn w:val="Normal"/>
    <w:next w:val="Normal"/>
    <w:link w:val="Ttulo1Car"/>
    <w:uiPriority w:val="99"/>
    <w:qFormat/>
    <w:locked/>
    <w:rsid w:val="00FC02C2"/>
    <w:pPr>
      <w:keepNext/>
      <w:spacing w:before="240" w:after="60"/>
      <w:outlineLvl w:val="0"/>
    </w:pPr>
    <w:rPr>
      <w:rFonts w:ascii="Arial" w:hAnsi="Arial" w:cs="Arial"/>
      <w:b/>
      <w:bCs/>
      <w:kern w:val="32"/>
      <w:sz w:val="32"/>
      <w:szCs w:val="32"/>
    </w:rPr>
  </w:style>
  <w:style w:type="paragraph" w:styleId="Ttulo9">
    <w:name w:val="heading 9"/>
    <w:basedOn w:val="Normal"/>
    <w:next w:val="Normal"/>
    <w:link w:val="Ttulo9Car"/>
    <w:uiPriority w:val="99"/>
    <w:qFormat/>
    <w:rsid w:val="001E7D77"/>
    <w:pPr>
      <w:keepNext/>
      <w:spacing w:after="120"/>
      <w:outlineLvl w:val="8"/>
    </w:pPr>
    <w:rPr>
      <w:rFonts w:ascii="Arial" w:hAnsi="Arial" w:cs="Arial"/>
      <w:b/>
      <w:bC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0C65"/>
    <w:rPr>
      <w:rFonts w:ascii="Cambria" w:eastAsia="Times New Roman" w:hAnsi="Cambria" w:cs="Times New Roman"/>
      <w:b/>
      <w:bCs/>
      <w:spacing w:val="-3"/>
      <w:kern w:val="32"/>
      <w:sz w:val="32"/>
      <w:szCs w:val="32"/>
      <w:lang w:val="es-ES" w:eastAsia="es-ES"/>
    </w:rPr>
  </w:style>
  <w:style w:type="character" w:customStyle="1" w:styleId="Ttulo9Car">
    <w:name w:val="Título 9 Car"/>
    <w:basedOn w:val="Fuentedeprrafopredeter"/>
    <w:link w:val="Ttulo9"/>
    <w:uiPriority w:val="9"/>
    <w:semiHidden/>
    <w:rsid w:val="00910C65"/>
    <w:rPr>
      <w:rFonts w:ascii="Cambria" w:eastAsia="Times New Roman" w:hAnsi="Cambria" w:cs="Times New Roman"/>
      <w:spacing w:val="-3"/>
      <w:lang w:val="es-ES" w:eastAsia="es-ES"/>
    </w:rPr>
  </w:style>
  <w:style w:type="paragraph" w:styleId="Encabezado">
    <w:name w:val="header"/>
    <w:basedOn w:val="Normal"/>
    <w:link w:val="EncabezadoCar"/>
    <w:uiPriority w:val="99"/>
    <w:rsid w:val="001E7D77"/>
    <w:pPr>
      <w:tabs>
        <w:tab w:val="center" w:pos="4252"/>
        <w:tab w:val="right" w:pos="8504"/>
      </w:tabs>
    </w:pPr>
  </w:style>
  <w:style w:type="character" w:customStyle="1" w:styleId="EncabezadoCar">
    <w:name w:val="Encabezado Car"/>
    <w:basedOn w:val="Fuentedeprrafopredeter"/>
    <w:link w:val="Encabezado"/>
    <w:uiPriority w:val="99"/>
    <w:semiHidden/>
    <w:rsid w:val="00910C65"/>
    <w:rPr>
      <w:spacing w:val="-3"/>
      <w:sz w:val="24"/>
      <w:szCs w:val="24"/>
      <w:lang w:val="es-ES" w:eastAsia="es-ES"/>
    </w:rPr>
  </w:style>
  <w:style w:type="paragraph" w:styleId="Piedepgina">
    <w:name w:val="footer"/>
    <w:basedOn w:val="Normal"/>
    <w:link w:val="PiedepginaCar"/>
    <w:uiPriority w:val="99"/>
    <w:rsid w:val="001E7D77"/>
    <w:pPr>
      <w:tabs>
        <w:tab w:val="center" w:pos="4252"/>
        <w:tab w:val="right" w:pos="8504"/>
      </w:tabs>
    </w:pPr>
  </w:style>
  <w:style w:type="character" w:customStyle="1" w:styleId="PiedepginaCar">
    <w:name w:val="Pie de página Car"/>
    <w:basedOn w:val="Fuentedeprrafopredeter"/>
    <w:link w:val="Piedepgina"/>
    <w:uiPriority w:val="99"/>
    <w:locked/>
    <w:rsid w:val="00D90125"/>
    <w:rPr>
      <w:spacing w:val="-3"/>
      <w:sz w:val="24"/>
      <w:szCs w:val="24"/>
      <w:lang w:val="es-ES" w:eastAsia="es-ES"/>
    </w:rPr>
  </w:style>
  <w:style w:type="paragraph" w:styleId="Sangradetextonormal">
    <w:name w:val="Body Text Indent"/>
    <w:basedOn w:val="Normal"/>
    <w:link w:val="SangradetextonormalCar"/>
    <w:uiPriority w:val="99"/>
    <w:rsid w:val="001E7D77"/>
    <w:pPr>
      <w:ind w:left="705" w:hanging="705"/>
      <w:jc w:val="both"/>
    </w:pPr>
    <w:rPr>
      <w:rFonts w:ascii="Arial" w:hAnsi="Arial" w:cs="Arial"/>
      <w:b/>
      <w:bCs/>
      <w:spacing w:val="0"/>
    </w:rPr>
  </w:style>
  <w:style w:type="character" w:customStyle="1" w:styleId="SangradetextonormalCar">
    <w:name w:val="Sangría de texto normal Car"/>
    <w:basedOn w:val="Fuentedeprrafopredeter"/>
    <w:link w:val="Sangradetextonormal"/>
    <w:uiPriority w:val="99"/>
    <w:semiHidden/>
    <w:rsid w:val="00910C65"/>
    <w:rPr>
      <w:spacing w:val="-3"/>
      <w:sz w:val="24"/>
      <w:szCs w:val="24"/>
      <w:lang w:val="es-ES" w:eastAsia="es-ES"/>
    </w:rPr>
  </w:style>
  <w:style w:type="paragraph" w:customStyle="1" w:styleId="ciudadyfecha0">
    <w:name w:val="ciudadyfecha0"/>
    <w:basedOn w:val="Normal"/>
    <w:uiPriority w:val="99"/>
    <w:rsid w:val="001E7D77"/>
    <w:pPr>
      <w:spacing w:before="100" w:beforeAutospacing="1" w:after="100" w:afterAutospacing="1"/>
    </w:pPr>
    <w:rPr>
      <w:spacing w:val="0"/>
    </w:rPr>
  </w:style>
  <w:style w:type="paragraph" w:customStyle="1" w:styleId="bodytext21">
    <w:name w:val="bodytext21"/>
    <w:basedOn w:val="Normal"/>
    <w:uiPriority w:val="99"/>
    <w:rsid w:val="001E7D77"/>
    <w:pPr>
      <w:spacing w:before="100" w:beforeAutospacing="1" w:after="100" w:afterAutospacing="1"/>
    </w:pPr>
    <w:rPr>
      <w:spacing w:val="0"/>
    </w:rPr>
  </w:style>
  <w:style w:type="paragraph" w:styleId="Textoindependiente2">
    <w:name w:val="Body Text 2"/>
    <w:basedOn w:val="Normal"/>
    <w:link w:val="Textoindependiente2Car"/>
    <w:uiPriority w:val="99"/>
    <w:rsid w:val="000D707C"/>
    <w:pPr>
      <w:spacing w:after="120" w:line="480" w:lineRule="auto"/>
    </w:pPr>
  </w:style>
  <w:style w:type="character" w:customStyle="1" w:styleId="Textoindependiente2Car">
    <w:name w:val="Texto independiente 2 Car"/>
    <w:basedOn w:val="Fuentedeprrafopredeter"/>
    <w:link w:val="Textoindependiente2"/>
    <w:uiPriority w:val="99"/>
    <w:locked/>
    <w:rsid w:val="00B938C9"/>
    <w:rPr>
      <w:spacing w:val="-3"/>
      <w:sz w:val="24"/>
      <w:szCs w:val="24"/>
      <w:lang w:val="es-ES" w:eastAsia="es-ES"/>
    </w:rPr>
  </w:style>
  <w:style w:type="paragraph" w:customStyle="1" w:styleId="Default">
    <w:name w:val="Default"/>
    <w:uiPriority w:val="99"/>
    <w:rsid w:val="000725CF"/>
    <w:pPr>
      <w:autoSpaceDE w:val="0"/>
      <w:autoSpaceDN w:val="0"/>
      <w:adjustRightInd w:val="0"/>
    </w:pPr>
    <w:rPr>
      <w:rFonts w:ascii="Arial" w:hAnsi="Arial" w:cs="Arial"/>
      <w:color w:val="000000"/>
      <w:sz w:val="24"/>
      <w:szCs w:val="24"/>
      <w:lang w:val="es-ES" w:eastAsia="es-ES"/>
    </w:rPr>
  </w:style>
  <w:style w:type="paragraph" w:styleId="Prrafodelista">
    <w:name w:val="List Paragraph"/>
    <w:basedOn w:val="Normal"/>
    <w:uiPriority w:val="99"/>
    <w:qFormat/>
    <w:rsid w:val="00133457"/>
    <w:pPr>
      <w:ind w:left="708"/>
    </w:pPr>
  </w:style>
  <w:style w:type="table" w:styleId="Tablaconcuadrcula">
    <w:name w:val="Table Grid"/>
    <w:basedOn w:val="Tablanormal"/>
    <w:uiPriority w:val="99"/>
    <w:rsid w:val="005049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rsid w:val="00D570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Bogotá, D</vt:lpstr>
    </vt:vector>
  </TitlesOfParts>
  <Company>puj</Company>
  <LinksUpToDate>false</LinksUpToDate>
  <CharactersWithSpaces>5475</CharactersWithSpaces>
  <SharedDoc>false</SharedDoc>
  <HLinks>
    <vt:vector size="6" baseType="variant">
      <vt:variant>
        <vt:i4>65546</vt:i4>
      </vt:variant>
      <vt:variant>
        <vt:i4>57</vt:i4>
      </vt:variant>
      <vt:variant>
        <vt:i4>0</vt:i4>
      </vt:variant>
      <vt:variant>
        <vt:i4>5</vt:i4>
      </vt:variant>
      <vt:variant>
        <vt:lpwstr>http://puj-portal.javeriana.edu.co/portal/page/portal/Facultad de Ingenieria/plt_public_ryu/Instrucciones a los autores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yperez</dc:creator>
  <cp:lastModifiedBy>RevIng</cp:lastModifiedBy>
  <cp:revision>2</cp:revision>
  <dcterms:created xsi:type="dcterms:W3CDTF">2012-02-17T16:22:00Z</dcterms:created>
  <dcterms:modified xsi:type="dcterms:W3CDTF">2012-02-17T16:22:00Z</dcterms:modified>
</cp:coreProperties>
</file>