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54" w:rsidRPr="000649A1" w:rsidRDefault="00D436DC" w:rsidP="008D2BFB">
      <w:pPr>
        <w:spacing w:line="240" w:lineRule="auto"/>
        <w:jc w:val="center"/>
        <w:rPr>
          <w:rFonts w:ascii="Tw Cen MT Condensed" w:eastAsia="Times New Roman" w:hAnsi="Tw Cen MT Condensed" w:cs="Times New Roman"/>
          <w:sz w:val="52"/>
          <w:szCs w:val="52"/>
          <w:lang w:val="en-US" w:eastAsia="es-MX"/>
        </w:rPr>
      </w:pPr>
      <w:r w:rsidRPr="00D436DC">
        <w:rPr>
          <w:rFonts w:ascii="Tw Cen MT Condensed" w:eastAsia="Times New Roman" w:hAnsi="Tw Cen MT Condensed" w:cs="Times New Roman"/>
          <w:sz w:val="52"/>
          <w:szCs w:val="52"/>
          <w:lang w:val="en-US" w:eastAsia="es-MX"/>
        </w:rPr>
        <w:t>Effects of Incentives for Renewable Energy in Colombia</w:t>
      </w:r>
      <w:r w:rsidR="00E33858">
        <w:rPr>
          <w:rStyle w:val="Refdenotaalpie"/>
          <w:rFonts w:ascii="Tw Cen MT Condensed" w:eastAsia="Times New Roman" w:hAnsi="Tw Cen MT Condensed" w:cs="Times New Roman"/>
          <w:sz w:val="52"/>
          <w:szCs w:val="52"/>
          <w:lang w:val="es-MX" w:eastAsia="es-MX"/>
        </w:rPr>
        <w:footnoteReference w:id="1"/>
      </w:r>
    </w:p>
    <w:p w:rsidR="00E33858" w:rsidRPr="00415719" w:rsidRDefault="00415719" w:rsidP="008D2BFB">
      <w:pPr>
        <w:spacing w:line="240" w:lineRule="auto"/>
        <w:jc w:val="center"/>
        <w:rPr>
          <w:rFonts w:ascii="Tw Cen MT Condensed" w:eastAsia="Times New Roman" w:hAnsi="Tw Cen MT Condensed" w:cs="Times New Roman"/>
          <w:sz w:val="40"/>
          <w:szCs w:val="40"/>
          <w:lang w:eastAsia="es-MX"/>
        </w:rPr>
      </w:pPr>
      <w:r w:rsidRPr="00415719">
        <w:rPr>
          <w:rFonts w:ascii="Tw Cen MT Condensed" w:eastAsia="Times New Roman" w:hAnsi="Tw Cen MT Condensed" w:cs="Times New Roman"/>
          <w:sz w:val="40"/>
          <w:szCs w:val="40"/>
          <w:lang w:eastAsia="es-MX"/>
        </w:rPr>
        <w:t>Efect</w:t>
      </w:r>
      <w:r w:rsidR="00B1334D">
        <w:rPr>
          <w:rFonts w:ascii="Tw Cen MT Condensed" w:eastAsia="Times New Roman" w:hAnsi="Tw Cen MT Condensed" w:cs="Times New Roman"/>
          <w:sz w:val="40"/>
          <w:szCs w:val="40"/>
          <w:lang w:eastAsia="es-MX"/>
        </w:rPr>
        <w:t>os de los Incentivos para E</w:t>
      </w:r>
      <w:r w:rsidR="00F60C98">
        <w:rPr>
          <w:rFonts w:ascii="Tw Cen MT Condensed" w:eastAsia="Times New Roman" w:hAnsi="Tw Cen MT Condensed" w:cs="Times New Roman"/>
          <w:sz w:val="40"/>
          <w:szCs w:val="40"/>
          <w:lang w:eastAsia="es-MX"/>
        </w:rPr>
        <w:t>nergí</w:t>
      </w:r>
      <w:r w:rsidR="00B1334D">
        <w:rPr>
          <w:rFonts w:ascii="Tw Cen MT Condensed" w:eastAsia="Times New Roman" w:hAnsi="Tw Cen MT Condensed" w:cs="Times New Roman"/>
          <w:sz w:val="40"/>
          <w:szCs w:val="40"/>
          <w:lang w:eastAsia="es-MX"/>
        </w:rPr>
        <w:t>as R</w:t>
      </w:r>
      <w:r w:rsidRPr="00415719">
        <w:rPr>
          <w:rFonts w:ascii="Tw Cen MT Condensed" w:eastAsia="Times New Roman" w:hAnsi="Tw Cen MT Condensed" w:cs="Times New Roman"/>
          <w:sz w:val="40"/>
          <w:szCs w:val="40"/>
          <w:lang w:eastAsia="es-MX"/>
        </w:rPr>
        <w:t>enovables en Colombia</w:t>
      </w:r>
      <w:r w:rsidR="005C1A0A">
        <w:rPr>
          <w:rStyle w:val="Refdenotaalpie"/>
          <w:rFonts w:ascii="Tw Cen MT Condensed" w:eastAsia="Times New Roman" w:hAnsi="Tw Cen MT Condensed" w:cs="Times New Roman"/>
          <w:sz w:val="40"/>
          <w:szCs w:val="40"/>
          <w:lang w:eastAsia="es-MX"/>
        </w:rPr>
        <w:footnoteReference w:id="2"/>
      </w:r>
    </w:p>
    <w:p w:rsidR="008D2BFB" w:rsidRPr="00415719" w:rsidRDefault="008D2BFB" w:rsidP="008D2BFB">
      <w:pPr>
        <w:spacing w:after="0"/>
        <w:jc w:val="center"/>
        <w:rPr>
          <w:rFonts w:ascii="Tw Cen MT Condensed" w:eastAsia="Times New Roman" w:hAnsi="Tw Cen MT Condensed" w:cs="Times New Roman"/>
          <w:szCs w:val="40"/>
          <w:lang w:eastAsia="es-MX"/>
        </w:rPr>
      </w:pPr>
    </w:p>
    <w:p w:rsidR="00E33858" w:rsidRPr="00415719" w:rsidRDefault="00E33858" w:rsidP="008D2BFB">
      <w:pPr>
        <w:spacing w:after="0"/>
        <w:jc w:val="right"/>
        <w:rPr>
          <w:rFonts w:ascii="Times New Roman" w:hAnsi="Times New Roman" w:cs="Times New Roman"/>
          <w:sz w:val="24"/>
          <w:szCs w:val="24"/>
        </w:rPr>
      </w:pPr>
    </w:p>
    <w:p w:rsidR="0079218B" w:rsidRPr="00CC0BA6" w:rsidRDefault="0079218B" w:rsidP="00236408">
      <w:pPr>
        <w:spacing w:after="0" w:line="240" w:lineRule="auto"/>
        <w:jc w:val="both"/>
        <w:rPr>
          <w:rFonts w:ascii="Times New Roman" w:hAnsi="Times New Roman" w:cs="Times New Roman"/>
          <w:b/>
          <w:sz w:val="24"/>
          <w:szCs w:val="24"/>
          <w:lang w:val="es-ES"/>
        </w:rPr>
      </w:pPr>
    </w:p>
    <w:p w:rsidR="0039123B" w:rsidRPr="001D700C" w:rsidRDefault="0039123B" w:rsidP="00236408">
      <w:pPr>
        <w:spacing w:after="0" w:line="240" w:lineRule="auto"/>
        <w:jc w:val="both"/>
        <w:rPr>
          <w:rFonts w:ascii="Times New Roman" w:hAnsi="Times New Roman" w:cs="Times New Roman"/>
          <w:b/>
          <w:sz w:val="24"/>
          <w:szCs w:val="24"/>
          <w:lang w:val="en-US"/>
        </w:rPr>
      </w:pPr>
      <w:r w:rsidRPr="001D700C">
        <w:rPr>
          <w:rFonts w:ascii="Times New Roman" w:hAnsi="Times New Roman" w:cs="Times New Roman"/>
          <w:b/>
          <w:sz w:val="24"/>
          <w:szCs w:val="24"/>
          <w:lang w:val="en-US"/>
        </w:rPr>
        <w:t>Abstract</w:t>
      </w:r>
    </w:p>
    <w:p w:rsidR="0079218B" w:rsidRPr="0079218B" w:rsidRDefault="0079218B" w:rsidP="0079218B">
      <w:pPr>
        <w:spacing w:after="0" w:line="240" w:lineRule="auto"/>
        <w:jc w:val="both"/>
        <w:rPr>
          <w:rFonts w:ascii="Times New Roman" w:hAnsi="Times New Roman" w:cs="Times New Roman"/>
          <w:sz w:val="24"/>
          <w:szCs w:val="24"/>
          <w:lang w:val="en-US"/>
        </w:rPr>
      </w:pPr>
      <w:r w:rsidRPr="0079218B">
        <w:rPr>
          <w:rFonts w:ascii="Times New Roman" w:hAnsi="Times New Roman" w:cs="Times New Roman"/>
          <w:sz w:val="24"/>
          <w:szCs w:val="24"/>
          <w:lang w:val="en-US"/>
        </w:rPr>
        <w:t>Renewable energy is becoming very important as a way to mitigate c</w:t>
      </w:r>
      <w:r w:rsidR="00B1334D">
        <w:rPr>
          <w:rFonts w:ascii="Times New Roman" w:hAnsi="Times New Roman" w:cs="Times New Roman"/>
          <w:sz w:val="24"/>
          <w:szCs w:val="24"/>
          <w:lang w:val="en-US"/>
        </w:rPr>
        <w:t xml:space="preserve">limate change and </w:t>
      </w:r>
      <w:r w:rsidR="00230F81" w:rsidRPr="00602740">
        <w:rPr>
          <w:rFonts w:ascii="Times New Roman" w:hAnsi="Times New Roman" w:cs="Times New Roman"/>
          <w:color w:val="000000" w:themeColor="text1"/>
          <w:sz w:val="24"/>
          <w:szCs w:val="24"/>
          <w:lang w:val="en-US"/>
        </w:rPr>
        <w:t>promote</w:t>
      </w:r>
      <w:r w:rsidR="00230F81">
        <w:rPr>
          <w:rFonts w:ascii="Times New Roman" w:hAnsi="Times New Roman" w:cs="Times New Roman"/>
          <w:sz w:val="24"/>
          <w:szCs w:val="24"/>
          <w:lang w:val="en-US"/>
        </w:rPr>
        <w:t xml:space="preserve"> </w:t>
      </w:r>
      <w:r w:rsidR="00B1334D">
        <w:rPr>
          <w:rFonts w:ascii="Times New Roman" w:hAnsi="Times New Roman" w:cs="Times New Roman"/>
          <w:sz w:val="24"/>
          <w:szCs w:val="24"/>
          <w:lang w:val="en-US"/>
        </w:rPr>
        <w:t xml:space="preserve">job creation. </w:t>
      </w:r>
      <w:r w:rsidR="00B1334D" w:rsidRPr="00602740">
        <w:rPr>
          <w:rFonts w:ascii="Times New Roman" w:hAnsi="Times New Roman" w:cs="Times New Roman"/>
          <w:color w:val="000000" w:themeColor="text1"/>
          <w:sz w:val="24"/>
          <w:szCs w:val="24"/>
          <w:lang w:val="en-US"/>
        </w:rPr>
        <w:t>Colombia is not excluded from this reality</w:t>
      </w:r>
      <w:r w:rsidR="00B1334D">
        <w:rPr>
          <w:rFonts w:ascii="Times New Roman" w:hAnsi="Times New Roman" w:cs="Times New Roman"/>
          <w:sz w:val="24"/>
          <w:szCs w:val="24"/>
          <w:lang w:val="en-US"/>
        </w:rPr>
        <w:t>,</w:t>
      </w:r>
      <w:r w:rsidRPr="0079218B">
        <w:rPr>
          <w:rFonts w:ascii="Times New Roman" w:hAnsi="Times New Roman" w:cs="Times New Roman"/>
          <w:sz w:val="24"/>
          <w:szCs w:val="24"/>
          <w:lang w:val="en-US"/>
        </w:rPr>
        <w:t xml:space="preserve"> </w:t>
      </w:r>
      <w:r w:rsidR="00B1334D">
        <w:rPr>
          <w:rFonts w:ascii="Times New Roman" w:hAnsi="Times New Roman" w:cs="Times New Roman"/>
          <w:sz w:val="24"/>
          <w:szCs w:val="24"/>
          <w:lang w:val="en-US"/>
        </w:rPr>
        <w:t xml:space="preserve">being </w:t>
      </w:r>
      <w:r w:rsidRPr="0079218B">
        <w:rPr>
          <w:rFonts w:ascii="Times New Roman" w:hAnsi="Times New Roman" w:cs="Times New Roman"/>
          <w:sz w:val="24"/>
          <w:szCs w:val="24"/>
          <w:lang w:val="en-US"/>
        </w:rPr>
        <w:t>a country with huge renewable resources and the challenge to give employment to thousands or re</w:t>
      </w:r>
      <w:r w:rsidR="00B1334D">
        <w:rPr>
          <w:rFonts w:ascii="Times New Roman" w:hAnsi="Times New Roman" w:cs="Times New Roman"/>
          <w:sz w:val="24"/>
          <w:szCs w:val="24"/>
          <w:lang w:val="en-US"/>
        </w:rPr>
        <w:t>bels, signing the peace process. T</w:t>
      </w:r>
      <w:r w:rsidRPr="0079218B">
        <w:rPr>
          <w:rFonts w:ascii="Times New Roman" w:hAnsi="Times New Roman" w:cs="Times New Roman"/>
          <w:sz w:val="24"/>
          <w:szCs w:val="24"/>
          <w:lang w:val="en-US"/>
        </w:rPr>
        <w:t>his paper studies the potential effects of the new regulation to promote the development of renewable en</w:t>
      </w:r>
      <w:r w:rsidR="00B1334D">
        <w:rPr>
          <w:rFonts w:ascii="Times New Roman" w:hAnsi="Times New Roman" w:cs="Times New Roman"/>
          <w:sz w:val="24"/>
          <w:szCs w:val="24"/>
          <w:lang w:val="en-US"/>
        </w:rPr>
        <w:t>ergy technologies in Colombia</w:t>
      </w:r>
      <w:r w:rsidRPr="0079218B">
        <w:rPr>
          <w:rFonts w:ascii="Times New Roman" w:hAnsi="Times New Roman" w:cs="Times New Roman"/>
          <w:sz w:val="24"/>
          <w:szCs w:val="24"/>
          <w:lang w:val="en-US"/>
        </w:rPr>
        <w:t xml:space="preserve">. Two incentives are analyzed: tax deductions on the investment and accelerated depreciation on assets. The work also establishes a methodology to include the effects of tax incentives in the calculation of the </w:t>
      </w:r>
      <w:proofErr w:type="spellStart"/>
      <w:r w:rsidRPr="0079218B">
        <w:rPr>
          <w:rFonts w:ascii="Times New Roman" w:hAnsi="Times New Roman" w:cs="Times New Roman"/>
          <w:sz w:val="24"/>
          <w:szCs w:val="24"/>
          <w:lang w:val="en-US"/>
        </w:rPr>
        <w:t>Levelized</w:t>
      </w:r>
      <w:proofErr w:type="spellEnd"/>
      <w:r w:rsidRPr="0079218B">
        <w:rPr>
          <w:rFonts w:ascii="Times New Roman" w:hAnsi="Times New Roman" w:cs="Times New Roman"/>
          <w:sz w:val="24"/>
          <w:szCs w:val="24"/>
          <w:lang w:val="en-US"/>
        </w:rPr>
        <w:t xml:space="preserve"> Cost Of Electricity (LCOE). The results show up to 20% reduction in the LCOE; unfortunately, the regulation restricts small or new business to apply for all incentives. For this reason,</w:t>
      </w:r>
      <w:r w:rsidR="0089427A">
        <w:rPr>
          <w:rFonts w:ascii="Times New Roman" w:hAnsi="Times New Roman" w:cs="Times New Roman"/>
          <w:sz w:val="24"/>
          <w:szCs w:val="24"/>
          <w:lang w:val="en-US"/>
        </w:rPr>
        <w:t xml:space="preserve"> two complementary mechanisms (g</w:t>
      </w:r>
      <w:r w:rsidRPr="0079218B">
        <w:rPr>
          <w:rFonts w:ascii="Times New Roman" w:hAnsi="Times New Roman" w:cs="Times New Roman"/>
          <w:sz w:val="24"/>
          <w:szCs w:val="24"/>
          <w:lang w:val="en-US"/>
        </w:rPr>
        <w:t>ranting five years as grace period for loan repayment and lower discount rate as subsidy from the government) are proposed in order to allow small business ventures such as forest biomass projects apply to incentives. As a result, 30% reduction in the LCOE is obtained for photovoltaics (PV) and 15% for forest biomass; being the last one a great opportunity in Colombia because of the huge amount of biomass resources and its potential to create new job opportun</w:t>
      </w:r>
      <w:r w:rsidR="00AC17A4">
        <w:rPr>
          <w:rFonts w:ascii="Times New Roman" w:hAnsi="Times New Roman" w:cs="Times New Roman"/>
          <w:sz w:val="24"/>
          <w:szCs w:val="24"/>
          <w:lang w:val="en-US"/>
        </w:rPr>
        <w:t>ities</w:t>
      </w:r>
      <w:r w:rsidRPr="0079218B">
        <w:rPr>
          <w:rFonts w:ascii="Times New Roman" w:hAnsi="Times New Roman" w:cs="Times New Roman"/>
          <w:sz w:val="24"/>
          <w:szCs w:val="24"/>
          <w:lang w:val="en-US"/>
        </w:rPr>
        <w:t>.</w:t>
      </w:r>
    </w:p>
    <w:p w:rsidR="0079218B" w:rsidRDefault="0079218B" w:rsidP="00236408">
      <w:pPr>
        <w:spacing w:after="0" w:line="240" w:lineRule="auto"/>
        <w:jc w:val="both"/>
        <w:rPr>
          <w:rFonts w:ascii="Times New Roman" w:hAnsi="Times New Roman" w:cs="Times New Roman"/>
          <w:sz w:val="24"/>
          <w:szCs w:val="24"/>
          <w:lang w:val="en-US"/>
        </w:rPr>
      </w:pPr>
    </w:p>
    <w:p w:rsidR="0039123B" w:rsidRPr="00B1334D" w:rsidRDefault="0039123B" w:rsidP="00236408">
      <w:pPr>
        <w:spacing w:after="0" w:line="240" w:lineRule="auto"/>
        <w:jc w:val="both"/>
        <w:rPr>
          <w:rFonts w:ascii="Times New Roman" w:hAnsi="Times New Roman" w:cs="Times New Roman"/>
          <w:b/>
          <w:sz w:val="24"/>
          <w:szCs w:val="24"/>
          <w:lang w:val="es-ES"/>
        </w:rPr>
      </w:pPr>
      <w:r w:rsidRPr="00B1334D">
        <w:rPr>
          <w:rFonts w:ascii="Times New Roman" w:hAnsi="Times New Roman" w:cs="Times New Roman"/>
          <w:b/>
          <w:sz w:val="24"/>
          <w:szCs w:val="24"/>
          <w:lang w:val="es-ES"/>
        </w:rPr>
        <w:t>Resumen</w:t>
      </w:r>
    </w:p>
    <w:p w:rsidR="0039123B" w:rsidRPr="002B35A3" w:rsidRDefault="00B1334D" w:rsidP="00236408">
      <w:pPr>
        <w:spacing w:after="0" w:line="240" w:lineRule="auto"/>
        <w:jc w:val="both"/>
        <w:rPr>
          <w:rFonts w:ascii="Times New Roman" w:hAnsi="Times New Roman" w:cs="Times New Roman"/>
          <w:color w:val="000000" w:themeColor="text1"/>
          <w:sz w:val="24"/>
          <w:szCs w:val="24"/>
          <w:lang w:val="es-ES"/>
        </w:rPr>
      </w:pPr>
      <w:r w:rsidRPr="002B35A3">
        <w:rPr>
          <w:rFonts w:ascii="Times New Roman" w:hAnsi="Times New Roman" w:cs="Times New Roman"/>
          <w:color w:val="000000" w:themeColor="text1"/>
          <w:sz w:val="24"/>
          <w:szCs w:val="24"/>
          <w:lang w:val="es-ES"/>
        </w:rPr>
        <w:t>La energía reno</w:t>
      </w:r>
      <w:r w:rsidR="00230F81" w:rsidRPr="002B35A3">
        <w:rPr>
          <w:rFonts w:ascii="Times New Roman" w:hAnsi="Times New Roman" w:cs="Times New Roman"/>
          <w:color w:val="000000" w:themeColor="text1"/>
          <w:sz w:val="24"/>
          <w:szCs w:val="24"/>
          <w:lang w:val="es-ES"/>
        </w:rPr>
        <w:t>vable</w:t>
      </w:r>
      <w:r w:rsidR="002B35A3" w:rsidRPr="002B35A3">
        <w:rPr>
          <w:rFonts w:ascii="Times New Roman" w:hAnsi="Times New Roman" w:cs="Times New Roman"/>
          <w:color w:val="000000" w:themeColor="text1"/>
          <w:sz w:val="24"/>
          <w:szCs w:val="24"/>
          <w:lang w:val="es-ES"/>
        </w:rPr>
        <w:t xml:space="preserve"> ha adquirido gran importancia</w:t>
      </w:r>
      <w:r w:rsidRPr="002B35A3">
        <w:rPr>
          <w:rFonts w:ascii="Times New Roman" w:hAnsi="Times New Roman" w:cs="Times New Roman"/>
          <w:color w:val="000000" w:themeColor="text1"/>
          <w:sz w:val="24"/>
          <w:szCs w:val="24"/>
          <w:lang w:val="es-ES"/>
        </w:rPr>
        <w:t xml:space="preserve"> como una forma de mitigar</w:t>
      </w:r>
      <w:r w:rsidR="00230F81" w:rsidRPr="002B35A3">
        <w:rPr>
          <w:rFonts w:ascii="Times New Roman" w:hAnsi="Times New Roman" w:cs="Times New Roman"/>
          <w:color w:val="000000" w:themeColor="text1"/>
          <w:sz w:val="24"/>
          <w:szCs w:val="24"/>
          <w:lang w:val="es-ES"/>
        </w:rPr>
        <w:t xml:space="preserve"> el cambio climático y promover la creación de</w:t>
      </w:r>
      <w:r w:rsidRPr="002B35A3">
        <w:rPr>
          <w:rFonts w:ascii="Times New Roman" w:hAnsi="Times New Roman" w:cs="Times New Roman"/>
          <w:color w:val="000000" w:themeColor="text1"/>
          <w:sz w:val="24"/>
          <w:szCs w:val="24"/>
          <w:lang w:val="es-ES"/>
        </w:rPr>
        <w:t xml:space="preserve"> empleo. Colombia</w:t>
      </w:r>
      <w:r w:rsidR="00230F81" w:rsidRPr="002B35A3">
        <w:rPr>
          <w:rFonts w:ascii="Times New Roman" w:hAnsi="Times New Roman" w:cs="Times New Roman"/>
          <w:color w:val="000000" w:themeColor="text1"/>
          <w:sz w:val="24"/>
          <w:szCs w:val="24"/>
          <w:lang w:val="es-ES"/>
        </w:rPr>
        <w:t xml:space="preserve"> no es ajena a esta realidad</w:t>
      </w:r>
      <w:r w:rsidR="00343D88" w:rsidRPr="002B35A3">
        <w:rPr>
          <w:rFonts w:ascii="Times New Roman" w:hAnsi="Times New Roman" w:cs="Times New Roman"/>
          <w:color w:val="000000" w:themeColor="text1"/>
          <w:sz w:val="24"/>
          <w:szCs w:val="24"/>
          <w:lang w:val="es-ES"/>
        </w:rPr>
        <w:t>, siendo</w:t>
      </w:r>
      <w:r w:rsidRPr="002B35A3">
        <w:rPr>
          <w:rFonts w:ascii="Times New Roman" w:hAnsi="Times New Roman" w:cs="Times New Roman"/>
          <w:color w:val="000000" w:themeColor="text1"/>
          <w:sz w:val="24"/>
          <w:szCs w:val="24"/>
          <w:lang w:val="es-ES"/>
        </w:rPr>
        <w:t xml:space="preserve"> un país con</w:t>
      </w:r>
      <w:r w:rsidR="00343D88" w:rsidRPr="002B35A3">
        <w:rPr>
          <w:rFonts w:ascii="Times New Roman" w:hAnsi="Times New Roman" w:cs="Times New Roman"/>
          <w:color w:val="000000" w:themeColor="text1"/>
          <w:sz w:val="24"/>
          <w:szCs w:val="24"/>
          <w:lang w:val="es-ES"/>
        </w:rPr>
        <w:t xml:space="preserve"> abundantes</w:t>
      </w:r>
      <w:r w:rsidRPr="002B35A3">
        <w:rPr>
          <w:rFonts w:ascii="Times New Roman" w:hAnsi="Times New Roman" w:cs="Times New Roman"/>
          <w:color w:val="000000" w:themeColor="text1"/>
          <w:sz w:val="24"/>
          <w:szCs w:val="24"/>
          <w:lang w:val="es-ES"/>
        </w:rPr>
        <w:t xml:space="preserve"> recursos renovables y con el reto de dar empleo a miles de </w:t>
      </w:r>
      <w:r w:rsidR="002B35A3" w:rsidRPr="002B35A3">
        <w:rPr>
          <w:rFonts w:ascii="Times New Roman" w:hAnsi="Times New Roman" w:cs="Times New Roman"/>
          <w:color w:val="000000" w:themeColor="text1"/>
          <w:sz w:val="24"/>
          <w:szCs w:val="24"/>
          <w:lang w:val="es-ES"/>
        </w:rPr>
        <w:t xml:space="preserve">guerrilleros </w:t>
      </w:r>
      <w:r w:rsidR="00343D88" w:rsidRPr="002B35A3">
        <w:rPr>
          <w:rFonts w:ascii="Times New Roman" w:hAnsi="Times New Roman" w:cs="Times New Roman"/>
          <w:color w:val="000000" w:themeColor="text1"/>
          <w:sz w:val="24"/>
          <w:szCs w:val="24"/>
          <w:lang w:val="es-ES"/>
        </w:rPr>
        <w:t xml:space="preserve">que están firmando </w:t>
      </w:r>
      <w:r w:rsidRPr="002B35A3">
        <w:rPr>
          <w:rFonts w:ascii="Times New Roman" w:hAnsi="Times New Roman" w:cs="Times New Roman"/>
          <w:color w:val="000000" w:themeColor="text1"/>
          <w:sz w:val="24"/>
          <w:szCs w:val="24"/>
          <w:lang w:val="es-ES"/>
        </w:rPr>
        <w:t>el proceso de paz.</w:t>
      </w:r>
      <w:r w:rsidR="00343D88" w:rsidRPr="002B35A3">
        <w:rPr>
          <w:rFonts w:ascii="Times New Roman" w:hAnsi="Times New Roman" w:cs="Times New Roman"/>
          <w:color w:val="000000" w:themeColor="text1"/>
          <w:sz w:val="24"/>
          <w:szCs w:val="24"/>
          <w:lang w:val="es-ES"/>
        </w:rPr>
        <w:t xml:space="preserve"> En este artículo se estudian los efectos potenciales de la nueva regulación para promover el desarrollo de las tecnologías renovables en Colombia. Se analizan dos incentivos: deducción de impuestos en la inversión y depreciación </w:t>
      </w:r>
      <w:r w:rsidR="005A61AA" w:rsidRPr="002B35A3">
        <w:rPr>
          <w:rFonts w:ascii="Times New Roman" w:hAnsi="Times New Roman" w:cs="Times New Roman"/>
          <w:color w:val="000000" w:themeColor="text1"/>
          <w:sz w:val="24"/>
          <w:szCs w:val="24"/>
          <w:lang w:val="es-ES"/>
        </w:rPr>
        <w:t>acelerada</w:t>
      </w:r>
      <w:r w:rsidR="00343D88" w:rsidRPr="002B35A3">
        <w:rPr>
          <w:rFonts w:ascii="Times New Roman" w:hAnsi="Times New Roman" w:cs="Times New Roman"/>
          <w:color w:val="000000" w:themeColor="text1"/>
          <w:sz w:val="24"/>
          <w:szCs w:val="24"/>
          <w:lang w:val="es-ES"/>
        </w:rPr>
        <w:t xml:space="preserve"> de activos. También se establece una metodología para incluir los efectos de los incentivos de impuestos en el cálculo de los Costos Nivelados de Energía Eléctrica</w:t>
      </w:r>
      <w:r w:rsidR="002B35A3" w:rsidRPr="002B35A3">
        <w:rPr>
          <w:rFonts w:ascii="Times New Roman" w:hAnsi="Times New Roman" w:cs="Times New Roman"/>
          <w:color w:val="000000" w:themeColor="text1"/>
          <w:sz w:val="24"/>
          <w:szCs w:val="24"/>
          <w:lang w:val="es-ES"/>
        </w:rPr>
        <w:t xml:space="preserve"> (LCOE, por sus siglas en inglés</w:t>
      </w:r>
      <w:r w:rsidR="00343D88" w:rsidRPr="002B35A3">
        <w:rPr>
          <w:rFonts w:ascii="Times New Roman" w:hAnsi="Times New Roman" w:cs="Times New Roman"/>
          <w:color w:val="000000" w:themeColor="text1"/>
          <w:sz w:val="24"/>
          <w:szCs w:val="24"/>
          <w:lang w:val="es-ES"/>
        </w:rPr>
        <w:t>)</w:t>
      </w:r>
      <w:r w:rsidR="005A61AA" w:rsidRPr="002B35A3">
        <w:rPr>
          <w:rFonts w:ascii="Times New Roman" w:hAnsi="Times New Roman" w:cs="Times New Roman"/>
          <w:color w:val="000000" w:themeColor="text1"/>
          <w:sz w:val="24"/>
          <w:szCs w:val="24"/>
          <w:lang w:val="es-ES"/>
        </w:rPr>
        <w:t>. Los resultados muestran hasta</w:t>
      </w:r>
      <w:r w:rsidR="002B35A3" w:rsidRPr="002B35A3">
        <w:rPr>
          <w:rFonts w:ascii="Times New Roman" w:hAnsi="Times New Roman" w:cs="Times New Roman"/>
          <w:color w:val="000000" w:themeColor="text1"/>
          <w:sz w:val="24"/>
          <w:szCs w:val="24"/>
          <w:lang w:val="es-ES"/>
        </w:rPr>
        <w:t xml:space="preserve"> un 20% de reducción en los LCOE</w:t>
      </w:r>
      <w:r w:rsidR="005A61AA" w:rsidRPr="002B35A3">
        <w:rPr>
          <w:rFonts w:ascii="Times New Roman" w:hAnsi="Times New Roman" w:cs="Times New Roman"/>
          <w:color w:val="000000" w:themeColor="text1"/>
          <w:sz w:val="24"/>
          <w:szCs w:val="24"/>
          <w:lang w:val="es-ES"/>
        </w:rPr>
        <w:t>; desafortunadamente</w:t>
      </w:r>
      <w:r w:rsidR="002B35A3" w:rsidRPr="002B35A3">
        <w:rPr>
          <w:rFonts w:ascii="Times New Roman" w:hAnsi="Times New Roman" w:cs="Times New Roman"/>
          <w:color w:val="000000" w:themeColor="text1"/>
          <w:sz w:val="24"/>
          <w:szCs w:val="24"/>
          <w:lang w:val="es-ES"/>
        </w:rPr>
        <w:t>, la regulación no permite que</w:t>
      </w:r>
      <w:r w:rsidR="005A61AA" w:rsidRPr="002B35A3">
        <w:rPr>
          <w:rFonts w:ascii="Times New Roman" w:hAnsi="Times New Roman" w:cs="Times New Roman"/>
          <w:color w:val="000000" w:themeColor="text1"/>
          <w:sz w:val="24"/>
          <w:szCs w:val="24"/>
          <w:lang w:val="es-ES"/>
        </w:rPr>
        <w:t xml:space="preserve"> pequeños o nuevos </w:t>
      </w:r>
      <w:r w:rsidR="0089427A" w:rsidRPr="002B35A3">
        <w:rPr>
          <w:rFonts w:ascii="Times New Roman" w:hAnsi="Times New Roman" w:cs="Times New Roman"/>
          <w:color w:val="000000" w:themeColor="text1"/>
          <w:sz w:val="24"/>
          <w:szCs w:val="24"/>
          <w:lang w:val="es-ES"/>
        </w:rPr>
        <w:t>proyectos</w:t>
      </w:r>
      <w:r w:rsidR="002B35A3" w:rsidRPr="002B35A3">
        <w:rPr>
          <w:rFonts w:ascii="Times New Roman" w:hAnsi="Times New Roman" w:cs="Times New Roman"/>
          <w:color w:val="000000" w:themeColor="text1"/>
          <w:sz w:val="24"/>
          <w:szCs w:val="24"/>
          <w:lang w:val="es-ES"/>
        </w:rPr>
        <w:t xml:space="preserve"> puedan</w:t>
      </w:r>
      <w:r w:rsidR="005A61AA" w:rsidRPr="002B35A3">
        <w:rPr>
          <w:rFonts w:ascii="Times New Roman" w:hAnsi="Times New Roman" w:cs="Times New Roman"/>
          <w:color w:val="000000" w:themeColor="text1"/>
          <w:sz w:val="24"/>
          <w:szCs w:val="24"/>
          <w:lang w:val="es-ES"/>
        </w:rPr>
        <w:t xml:space="preserve"> aplicar a todos los incentivos. Por esta razón, se proponen dos mecanismos complemen</w:t>
      </w:r>
      <w:r w:rsidR="0089427A" w:rsidRPr="002B35A3">
        <w:rPr>
          <w:rFonts w:ascii="Times New Roman" w:hAnsi="Times New Roman" w:cs="Times New Roman"/>
          <w:color w:val="000000" w:themeColor="text1"/>
          <w:sz w:val="24"/>
          <w:szCs w:val="24"/>
          <w:lang w:val="es-ES"/>
        </w:rPr>
        <w:t>t</w:t>
      </w:r>
      <w:r w:rsidR="005A61AA" w:rsidRPr="002B35A3">
        <w:rPr>
          <w:rFonts w:ascii="Times New Roman" w:hAnsi="Times New Roman" w:cs="Times New Roman"/>
          <w:color w:val="000000" w:themeColor="text1"/>
          <w:sz w:val="24"/>
          <w:szCs w:val="24"/>
          <w:lang w:val="es-ES"/>
        </w:rPr>
        <w:t>arios (</w:t>
      </w:r>
      <w:r w:rsidR="0089427A" w:rsidRPr="002B35A3">
        <w:rPr>
          <w:rFonts w:ascii="Times New Roman" w:hAnsi="Times New Roman" w:cs="Times New Roman"/>
          <w:color w:val="000000" w:themeColor="text1"/>
          <w:sz w:val="24"/>
          <w:szCs w:val="24"/>
          <w:lang w:val="es-ES"/>
        </w:rPr>
        <w:t>cinco años como período de gracia para pago de préstamos y tasas de descuento más bajas como subsidio del gobierno</w:t>
      </w:r>
      <w:r w:rsidR="005A61AA" w:rsidRPr="002B35A3">
        <w:rPr>
          <w:rFonts w:ascii="Times New Roman" w:hAnsi="Times New Roman" w:cs="Times New Roman"/>
          <w:color w:val="000000" w:themeColor="text1"/>
          <w:sz w:val="24"/>
          <w:szCs w:val="24"/>
          <w:lang w:val="es-ES"/>
        </w:rPr>
        <w:t xml:space="preserve">) </w:t>
      </w:r>
      <w:r w:rsidR="0089427A" w:rsidRPr="002B35A3">
        <w:rPr>
          <w:rFonts w:ascii="Times New Roman" w:hAnsi="Times New Roman" w:cs="Times New Roman"/>
          <w:color w:val="000000" w:themeColor="text1"/>
          <w:sz w:val="24"/>
          <w:szCs w:val="24"/>
          <w:lang w:val="es-ES"/>
        </w:rPr>
        <w:t>par</w:t>
      </w:r>
      <w:r w:rsidR="002B35A3" w:rsidRPr="002B35A3">
        <w:rPr>
          <w:rFonts w:ascii="Times New Roman" w:hAnsi="Times New Roman" w:cs="Times New Roman"/>
          <w:color w:val="000000" w:themeColor="text1"/>
          <w:sz w:val="24"/>
          <w:szCs w:val="24"/>
          <w:lang w:val="es-ES"/>
        </w:rPr>
        <w:t>a permitir que pequeños proyectos</w:t>
      </w:r>
      <w:r w:rsidR="0089427A" w:rsidRPr="002B35A3">
        <w:rPr>
          <w:rFonts w:ascii="Times New Roman" w:hAnsi="Times New Roman" w:cs="Times New Roman"/>
          <w:color w:val="000000" w:themeColor="text1"/>
          <w:sz w:val="24"/>
          <w:szCs w:val="24"/>
          <w:lang w:val="es-ES"/>
        </w:rPr>
        <w:t xml:space="preserve"> como los basados en biomasa forestal, </w:t>
      </w:r>
      <w:r w:rsidR="002B35A3" w:rsidRPr="002B35A3">
        <w:rPr>
          <w:rFonts w:ascii="Times New Roman" w:hAnsi="Times New Roman" w:cs="Times New Roman"/>
          <w:color w:val="000000" w:themeColor="text1"/>
          <w:sz w:val="24"/>
          <w:szCs w:val="24"/>
          <w:lang w:val="es-ES"/>
        </w:rPr>
        <w:t xml:space="preserve">puedan </w:t>
      </w:r>
      <w:r w:rsidR="0089427A" w:rsidRPr="002B35A3">
        <w:rPr>
          <w:rFonts w:ascii="Times New Roman" w:hAnsi="Times New Roman" w:cs="Times New Roman"/>
          <w:color w:val="000000" w:themeColor="text1"/>
          <w:sz w:val="24"/>
          <w:szCs w:val="24"/>
          <w:lang w:val="es-ES"/>
        </w:rPr>
        <w:t>aplicar a los incentivos. Como resultado se obtiene 30% de reducción en l</w:t>
      </w:r>
      <w:r w:rsidR="002B35A3" w:rsidRPr="002B35A3">
        <w:rPr>
          <w:rFonts w:ascii="Times New Roman" w:hAnsi="Times New Roman" w:cs="Times New Roman"/>
          <w:color w:val="000000" w:themeColor="text1"/>
          <w:sz w:val="24"/>
          <w:szCs w:val="24"/>
          <w:lang w:val="es-ES"/>
        </w:rPr>
        <w:t>os LCOE</w:t>
      </w:r>
      <w:r w:rsidR="0089427A" w:rsidRPr="002B35A3">
        <w:rPr>
          <w:rFonts w:ascii="Times New Roman" w:hAnsi="Times New Roman" w:cs="Times New Roman"/>
          <w:color w:val="000000" w:themeColor="text1"/>
          <w:sz w:val="24"/>
          <w:szCs w:val="24"/>
          <w:lang w:val="es-ES"/>
        </w:rPr>
        <w:t xml:space="preserve"> para generación fotovoltaica y 15% para generación basada en biomasa forestal; siendo esta última una gran oportunidad en </w:t>
      </w:r>
      <w:r w:rsidR="0089427A" w:rsidRPr="002B35A3">
        <w:rPr>
          <w:rFonts w:ascii="Times New Roman" w:hAnsi="Times New Roman" w:cs="Times New Roman"/>
          <w:color w:val="000000" w:themeColor="text1"/>
          <w:sz w:val="24"/>
          <w:szCs w:val="24"/>
          <w:lang w:val="es-ES"/>
        </w:rPr>
        <w:lastRenderedPageBreak/>
        <w:t>Colombia dado el gran potencial de este recurso y la posibilidad de crear nuevas oportunidades de e</w:t>
      </w:r>
      <w:r w:rsidR="00AC17A4" w:rsidRPr="002B35A3">
        <w:rPr>
          <w:rFonts w:ascii="Times New Roman" w:hAnsi="Times New Roman" w:cs="Times New Roman"/>
          <w:color w:val="000000" w:themeColor="text1"/>
          <w:sz w:val="24"/>
          <w:szCs w:val="24"/>
          <w:lang w:val="es-ES"/>
        </w:rPr>
        <w:t>mpleo</w:t>
      </w:r>
      <w:r w:rsidR="0089427A" w:rsidRPr="002B35A3">
        <w:rPr>
          <w:rFonts w:ascii="Times New Roman" w:hAnsi="Times New Roman" w:cs="Times New Roman"/>
          <w:color w:val="000000" w:themeColor="text1"/>
          <w:sz w:val="24"/>
          <w:szCs w:val="24"/>
          <w:lang w:val="es-ES"/>
        </w:rPr>
        <w:t xml:space="preserve">. </w:t>
      </w:r>
    </w:p>
    <w:p w:rsidR="0079218B" w:rsidRDefault="0039123B" w:rsidP="00AC17A4">
      <w:pPr>
        <w:pStyle w:val="MDPI18keywords"/>
        <w:ind w:left="0"/>
        <w:rPr>
          <w:rFonts w:ascii="Times New Roman" w:eastAsiaTheme="minorEastAsia" w:hAnsi="Times New Roman"/>
          <w:snapToGrid/>
          <w:color w:val="auto"/>
          <w:sz w:val="24"/>
          <w:szCs w:val="24"/>
          <w:lang w:eastAsia="es-CO" w:bidi="ar-SA"/>
        </w:rPr>
      </w:pPr>
      <w:r w:rsidRPr="0039123B">
        <w:rPr>
          <w:rFonts w:ascii="Times New Roman" w:hAnsi="Times New Roman"/>
          <w:b/>
          <w:sz w:val="24"/>
          <w:szCs w:val="24"/>
        </w:rPr>
        <w:t xml:space="preserve">Keywords: </w:t>
      </w:r>
      <w:r w:rsidR="0079218B" w:rsidRPr="0079218B">
        <w:rPr>
          <w:rFonts w:ascii="Times New Roman" w:eastAsiaTheme="minorEastAsia" w:hAnsi="Times New Roman"/>
          <w:snapToGrid/>
          <w:color w:val="auto"/>
          <w:sz w:val="24"/>
          <w:szCs w:val="24"/>
          <w:lang w:eastAsia="es-CO" w:bidi="ar-SA"/>
        </w:rPr>
        <w:t>ren</w:t>
      </w:r>
      <w:r w:rsidR="00AC17A4">
        <w:rPr>
          <w:rFonts w:ascii="Times New Roman" w:eastAsiaTheme="minorEastAsia" w:hAnsi="Times New Roman"/>
          <w:snapToGrid/>
          <w:color w:val="auto"/>
          <w:sz w:val="24"/>
          <w:szCs w:val="24"/>
          <w:lang w:eastAsia="es-CO" w:bidi="ar-SA"/>
        </w:rPr>
        <w:t xml:space="preserve">ewable energy; tax incentives; </w:t>
      </w:r>
      <w:proofErr w:type="spellStart"/>
      <w:r w:rsidR="00AC17A4">
        <w:rPr>
          <w:rFonts w:ascii="Times New Roman" w:eastAsiaTheme="minorEastAsia" w:hAnsi="Times New Roman"/>
          <w:snapToGrid/>
          <w:color w:val="auto"/>
          <w:sz w:val="24"/>
          <w:szCs w:val="24"/>
          <w:lang w:eastAsia="es-CO" w:bidi="ar-SA"/>
        </w:rPr>
        <w:t>l</w:t>
      </w:r>
      <w:r w:rsidR="0079218B" w:rsidRPr="0079218B">
        <w:rPr>
          <w:rFonts w:ascii="Times New Roman" w:eastAsiaTheme="minorEastAsia" w:hAnsi="Times New Roman"/>
          <w:snapToGrid/>
          <w:color w:val="auto"/>
          <w:sz w:val="24"/>
          <w:szCs w:val="24"/>
          <w:lang w:eastAsia="es-CO" w:bidi="ar-SA"/>
        </w:rPr>
        <w:t>evelized</w:t>
      </w:r>
      <w:proofErr w:type="spellEnd"/>
      <w:r w:rsidR="0079218B" w:rsidRPr="0079218B">
        <w:rPr>
          <w:rFonts w:ascii="Times New Roman" w:eastAsiaTheme="minorEastAsia" w:hAnsi="Times New Roman"/>
          <w:snapToGrid/>
          <w:color w:val="auto"/>
          <w:sz w:val="24"/>
          <w:szCs w:val="24"/>
          <w:lang w:eastAsia="es-CO" w:bidi="ar-SA"/>
        </w:rPr>
        <w:t xml:space="preserve"> cost of electricity; forest biomass, job creation</w:t>
      </w:r>
      <w:r w:rsidR="00AC17A4">
        <w:rPr>
          <w:rFonts w:ascii="Times New Roman" w:eastAsiaTheme="minorEastAsia" w:hAnsi="Times New Roman"/>
          <w:snapToGrid/>
          <w:color w:val="auto"/>
          <w:sz w:val="24"/>
          <w:szCs w:val="24"/>
          <w:lang w:eastAsia="es-CO" w:bidi="ar-SA"/>
        </w:rPr>
        <w:t>.</w:t>
      </w:r>
    </w:p>
    <w:p w:rsidR="00375BE8" w:rsidRPr="00375BE8" w:rsidRDefault="00375BE8" w:rsidP="00375BE8">
      <w:pPr>
        <w:rPr>
          <w:lang w:val="en-US"/>
        </w:rPr>
      </w:pPr>
    </w:p>
    <w:p w:rsidR="00125A45" w:rsidRPr="00236408" w:rsidRDefault="007C59BB" w:rsidP="00236408">
      <w:pPr>
        <w:spacing w:after="0" w:line="240" w:lineRule="auto"/>
        <w:jc w:val="both"/>
        <w:rPr>
          <w:rFonts w:ascii="Times New Roman" w:hAnsi="Times New Roman" w:cs="Times New Roman"/>
          <w:sz w:val="24"/>
          <w:szCs w:val="24"/>
        </w:rPr>
      </w:pPr>
      <w:r w:rsidRPr="00236408">
        <w:rPr>
          <w:rFonts w:ascii="Times New Roman" w:hAnsi="Times New Roman" w:cs="Times New Roman"/>
          <w:b/>
          <w:sz w:val="24"/>
          <w:szCs w:val="24"/>
        </w:rPr>
        <w:t>Palabras clave</w:t>
      </w:r>
      <w:r w:rsidR="002A6CFA">
        <w:rPr>
          <w:rFonts w:ascii="Times New Roman" w:hAnsi="Times New Roman" w:cs="Times New Roman"/>
          <w:b/>
          <w:sz w:val="24"/>
          <w:szCs w:val="24"/>
        </w:rPr>
        <w:t xml:space="preserve">: </w:t>
      </w:r>
      <w:r w:rsidR="00AC17A4">
        <w:rPr>
          <w:rFonts w:ascii="Times New Roman" w:hAnsi="Times New Roman" w:cs="Times New Roman"/>
          <w:sz w:val="24"/>
          <w:szCs w:val="24"/>
        </w:rPr>
        <w:t>energías renovables; incentivos fiscales; costos nivelados de electricidad; biomasa forestal; creación de empleos.</w:t>
      </w:r>
    </w:p>
    <w:p w:rsidR="00B56B3F" w:rsidRPr="00236408" w:rsidRDefault="00B56B3F" w:rsidP="00236408">
      <w:pPr>
        <w:spacing w:after="0" w:line="240" w:lineRule="auto"/>
        <w:jc w:val="both"/>
        <w:rPr>
          <w:rFonts w:ascii="Times New Roman" w:hAnsi="Times New Roman" w:cs="Times New Roman"/>
          <w:b/>
          <w:sz w:val="24"/>
          <w:szCs w:val="24"/>
        </w:rPr>
      </w:pPr>
    </w:p>
    <w:p w:rsidR="00262D96" w:rsidRDefault="00262D96" w:rsidP="00236408">
      <w:pPr>
        <w:spacing w:after="0" w:line="240" w:lineRule="auto"/>
        <w:jc w:val="both"/>
        <w:rPr>
          <w:rFonts w:ascii="Times New Roman" w:hAnsi="Times New Roman" w:cs="Times New Roman"/>
          <w:sz w:val="24"/>
          <w:szCs w:val="24"/>
        </w:rPr>
      </w:pPr>
    </w:p>
    <w:p w:rsidR="00923C3F" w:rsidRPr="00AD47C6" w:rsidRDefault="00130339" w:rsidP="00AD47C6">
      <w:pPr>
        <w:pStyle w:val="Ttulo1"/>
        <w:numPr>
          <w:ilvl w:val="1"/>
          <w:numId w:val="1"/>
        </w:numPr>
        <w:spacing w:before="0"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I</w:t>
      </w:r>
      <w:r w:rsidR="002102BA" w:rsidRPr="00AD47C6">
        <w:rPr>
          <w:rFonts w:ascii="Times New Roman" w:hAnsi="Times New Roman" w:cs="Times New Roman"/>
          <w:sz w:val="24"/>
          <w:szCs w:val="24"/>
        </w:rPr>
        <w:t>ntrodu</w:t>
      </w:r>
      <w:bookmarkStart w:id="0" w:name="_Toc195338325"/>
      <w:r>
        <w:rPr>
          <w:rFonts w:ascii="Times New Roman" w:hAnsi="Times New Roman" w:cs="Times New Roman"/>
          <w:sz w:val="24"/>
          <w:szCs w:val="24"/>
        </w:rPr>
        <w:t>ction</w:t>
      </w:r>
      <w:proofErr w:type="spellEnd"/>
    </w:p>
    <w:p w:rsidR="00130339" w:rsidRDefault="00130339" w:rsidP="00AD47C6">
      <w:pPr>
        <w:spacing w:after="0" w:line="240" w:lineRule="auto"/>
        <w:jc w:val="both"/>
        <w:rPr>
          <w:rFonts w:ascii="Times New Roman" w:hAnsi="Times New Roman" w:cs="Times New Roman"/>
          <w:sz w:val="24"/>
          <w:szCs w:val="24"/>
        </w:rPr>
      </w:pPr>
    </w:p>
    <w:p w:rsidR="003E325C" w:rsidRPr="003E325C" w:rsidRDefault="003E325C" w:rsidP="003E325C">
      <w:pPr>
        <w:spacing w:after="0" w:line="240" w:lineRule="auto"/>
        <w:jc w:val="both"/>
        <w:rPr>
          <w:rFonts w:ascii="Times New Roman" w:hAnsi="Times New Roman" w:cs="Times New Roman"/>
          <w:sz w:val="24"/>
          <w:szCs w:val="24"/>
          <w:lang w:val="en-US"/>
        </w:rPr>
      </w:pPr>
      <w:bookmarkStart w:id="1" w:name="OLE_LINK1"/>
      <w:bookmarkStart w:id="2" w:name="OLE_LINK2"/>
      <w:r w:rsidRPr="003E325C">
        <w:rPr>
          <w:rFonts w:ascii="Times New Roman" w:hAnsi="Times New Roman" w:cs="Times New Roman"/>
          <w:sz w:val="24"/>
          <w:szCs w:val="24"/>
          <w:lang w:val="en-US"/>
        </w:rPr>
        <w:t>New renewable energy installations have experienced rapid growth in recent years. Only in 2011, the new installed capacity of renewable energy generation, accounted for half of the total energy added capacity (about 208 million kW) [1]. These new installations have not been equally distributed across the world, because of the higher cost of the electricity generated compared with conventional plants. Countries with a larger proportion of renewable energy capacity, have implemented programs with public subsidies and other incentives to promote new projects.</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In recent years, renewable energy industries have received increasing support in many countries; with feed-in tariff (FIT) and renewable portfolio standard (RPS), as the most popular regulatory policies [1]. The authors of the last reference establish a two-stage game model to compare the effects of these two policies. It is found out that FIT is more efficient than RPS to increase the quantity of the renewable energy installed capacity, and that RPS is more efficient to reduce the carbon emissions and to improve the consumer surplus.</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The efficiency of different incentives schemes for the development of renewable energy sources is studied in [2]; where it is concluded that a system of feed-in tariffs is more efficient than a bidding system, but highlights the theoretical interest of green certificate trading which must be confirmed though practice, given the influence of market structures and rules on the performance of this type of approach.</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The effect of FIT to promote renewable energy projects in Latin America and the Caribbean region is analyzed in reference [3], where certain similarities are found when comparing five countries, namely Argentina, Dominican Republic, Ecuador, Honduras, and Nicaragua. First, most of them include a wide range of eligible technologies under their national support schemes. Second, most of the countries guarantee a tariff payment over a long period of time (10-30 years). Nevertheless, the analysis reveals that FIT policy design may not be the primary constraint to renewable energy market growth, because the policies have not resulted in a significant market response.</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Solar photovoltaic (PV), as another source of renewable energy, has experienced rapid growth over the past few years. One of the reasons that explain its growth is the dramatic drop in the price of panels, as an evidence of the increasing competitiveness of this energy source. Nonetheless, skeptics attribute the rapid growth of solar photovoltaic power, primarily to generous public policies in the form of tax subsidies. In particular, there seems to be no consensus as to whether photovoltaic power is approaching grid parity [4].</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 xml:space="preserve">Reference [4] provides an assessment of the cost competitiveness of electricity generated by solar power, based on the concept of LCOE in order to identify the factors that are </w:t>
      </w:r>
      <w:r w:rsidRPr="003E325C">
        <w:rPr>
          <w:rFonts w:ascii="Times New Roman" w:hAnsi="Times New Roman" w:cs="Times New Roman"/>
          <w:sz w:val="24"/>
          <w:szCs w:val="24"/>
          <w:lang w:val="en-US"/>
        </w:rPr>
        <w:lastRenderedPageBreak/>
        <w:t>crucial to determine the economic viability of solar photovoltaic: geographic location of the facility, technological improvements, as well as, public subsidies in the form of tax breaks and regulatory mandates for renewable energy. It concludes that utility-scale PV installations are not yet cost competitive with fossil fuel power plants. In contrast, commercial-scale installations have already attained cost parity. This conclusion is shown to depend crucially on both the current federal tax subsidies for solar power and an ideal geographic location for the solar installation.</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Factors influencing the grid parity on a country-by-country basis are analyzed in [5]. The paper accounts for both the quality of solar resource and the cost of capital in order to differentiate LCOE from PV. The results suggest that Northern countries may not be an unwise location to subsidize PV construction. Moreover, it suggests that the efforts to expand PV installation in developing countries may benefit greatly from policies designed to make low cost finance more widely available.</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Reference [6] analyzes the impact of intermittently renewable energy on Italian wholesale electricity prices, concluding that this intermittency does not imply additional costs for the consumers. This work finds a threshold of Renewable Energy Sources (RES) development within which renewable power penetration would imply an increase in prices and beyond which a further increase in intermittent RES would determine a price collapse.</w:t>
      </w:r>
    </w:p>
    <w:p w:rsidR="003E325C" w:rsidRPr="003E325C" w:rsidRDefault="00F97075" w:rsidP="003E325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[7</w:t>
      </w:r>
      <w:r w:rsidR="003E325C" w:rsidRPr="003E325C">
        <w:rPr>
          <w:rFonts w:ascii="Times New Roman" w:hAnsi="Times New Roman" w:cs="Times New Roman"/>
          <w:sz w:val="24"/>
          <w:szCs w:val="24"/>
          <w:lang w:val="en-US"/>
        </w:rPr>
        <w:t>], the analysis of the impact of the political influences on the adoption of financial incentives for renewable energy by the state governments in the United States finds that the adoption is also motivated by political factors. Economics is the most important aspect for tax incentives, but culture is the most important for grant and / or loan program adoption. The results also show that partisanship is greatly important in the adoption of policy.</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Conducting an ec</w:t>
      </w:r>
      <w:r w:rsidR="00F97075">
        <w:rPr>
          <w:rFonts w:ascii="Times New Roman" w:hAnsi="Times New Roman" w:cs="Times New Roman"/>
          <w:sz w:val="24"/>
          <w:szCs w:val="24"/>
          <w:lang w:val="en-US"/>
        </w:rPr>
        <w:t>onometric analysis, reference [8</w:t>
      </w:r>
      <w:r w:rsidRPr="003E325C">
        <w:rPr>
          <w:rFonts w:ascii="Times New Roman" w:hAnsi="Times New Roman" w:cs="Times New Roman"/>
          <w:sz w:val="24"/>
          <w:szCs w:val="24"/>
          <w:lang w:val="en-US"/>
        </w:rPr>
        <w:t>] addresses what renewable energy instruments are effective ways to increase capacity of renewable energy sources. The findings show different effects of the policies. FITs, tender and tax have a positive and statistically significant effect on the capacity of renewable energy deployment in Europe and the United States. The study also finds that quotas do not provide significant results.</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 xml:space="preserve">Even the costs of some renewable energy sources such as wave energy and offshore wind are still </w:t>
      </w:r>
      <w:proofErr w:type="gramStart"/>
      <w:r w:rsidRPr="003E325C">
        <w:rPr>
          <w:rFonts w:ascii="Times New Roman" w:hAnsi="Times New Roman" w:cs="Times New Roman"/>
          <w:sz w:val="24"/>
          <w:szCs w:val="24"/>
          <w:lang w:val="en-US"/>
        </w:rPr>
        <w:t>high,</w:t>
      </w:r>
      <w:proofErr w:type="gramEnd"/>
      <w:r w:rsidRPr="003E325C">
        <w:rPr>
          <w:rFonts w:ascii="Times New Roman" w:hAnsi="Times New Roman" w:cs="Times New Roman"/>
          <w:sz w:val="24"/>
          <w:szCs w:val="24"/>
          <w:lang w:val="en-US"/>
        </w:rPr>
        <w:t xml:space="preserve"> the life-cycle costs of offshore and onshore wind are decreasing, being the last technology one the mos</w:t>
      </w:r>
      <w:r w:rsidR="00F97075">
        <w:rPr>
          <w:rFonts w:ascii="Times New Roman" w:hAnsi="Times New Roman" w:cs="Times New Roman"/>
          <w:sz w:val="24"/>
          <w:szCs w:val="24"/>
          <w:lang w:val="en-US"/>
        </w:rPr>
        <w:t>t competitive at present. In [9</w:t>
      </w:r>
      <w:r w:rsidRPr="003E325C">
        <w:rPr>
          <w:rFonts w:ascii="Times New Roman" w:hAnsi="Times New Roman" w:cs="Times New Roman"/>
          <w:sz w:val="24"/>
          <w:szCs w:val="24"/>
          <w:lang w:val="en-US"/>
        </w:rPr>
        <w:t>], two factors behind the rapid growth of onshore wind capacity installation in China are found. The first is the radical reduction in turbine prices worldwide. The second is the Chinese feed-in-tariff effective since 2009 for wind power generation. The authors conclude that the learning-by-doing in China`s onshore wind industry had led to discussion and possible revision in subsidies, moving those resources to offshore wind and solar power.</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 xml:space="preserve">The use of biomass energy may be an important option both for environmental and economic sustainability, considering that the cost per unit energy of firewood has been competitive </w:t>
      </w:r>
      <w:r w:rsidR="00F97075">
        <w:rPr>
          <w:rFonts w:ascii="Times New Roman" w:hAnsi="Times New Roman" w:cs="Times New Roman"/>
          <w:sz w:val="24"/>
          <w:szCs w:val="24"/>
          <w:lang w:val="en-US"/>
        </w:rPr>
        <w:t>in many countries. Reference [10</w:t>
      </w:r>
      <w:r w:rsidRPr="003E325C">
        <w:rPr>
          <w:rFonts w:ascii="Times New Roman" w:hAnsi="Times New Roman" w:cs="Times New Roman"/>
          <w:sz w:val="24"/>
          <w:szCs w:val="24"/>
          <w:lang w:val="en-US"/>
        </w:rPr>
        <w:t>] presents a model for the implementation of agro-energy chains based on the actual availability of forest biomass and the real demand for energy in the area of the Basilicata region, Italy. It tests the possibility to substitute methane gas for heating with thermal energy from biomass; the results shows how the feasibility of this replacement in both energy and economic term depends, respectively, on the biomass availability and investment costs. It highlights that the tax credit provided by the current national legislation and the new incentives on the production of thermal energy from renewable sources and on energy efficiency can give significant impetus to expand the market of thermal energy from renewable sources in Italy.</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lastRenderedPageBreak/>
        <w:t>The potential for renewable energy deployment in Colombia is high but has not been fully estimated for all the resources. Water sources suitable for small run of river hydropower plants (less than 20 MW) are abund</w:t>
      </w:r>
      <w:r w:rsidR="00F55AAF">
        <w:rPr>
          <w:rFonts w:ascii="Times New Roman" w:hAnsi="Times New Roman" w:cs="Times New Roman"/>
          <w:sz w:val="24"/>
          <w:szCs w:val="24"/>
          <w:lang w:val="en-US"/>
        </w:rPr>
        <w:t>ant with a potential of 5 GW [11</w:t>
      </w:r>
      <w:r w:rsidRPr="003E325C">
        <w:rPr>
          <w:rFonts w:ascii="Times New Roman" w:hAnsi="Times New Roman" w:cs="Times New Roman"/>
          <w:sz w:val="24"/>
          <w:szCs w:val="24"/>
          <w:lang w:val="en-US"/>
        </w:rPr>
        <w:t>]. Wind potential could be as high as 18 GW only in the region of La Guajira a</w:t>
      </w:r>
      <w:r w:rsidR="00F55AAF">
        <w:rPr>
          <w:rFonts w:ascii="Times New Roman" w:hAnsi="Times New Roman" w:cs="Times New Roman"/>
          <w:sz w:val="24"/>
          <w:szCs w:val="24"/>
          <w:lang w:val="en-US"/>
        </w:rPr>
        <w:t>nd 35 GW for all the country [12</w:t>
      </w:r>
      <w:r w:rsidRPr="003E325C">
        <w:rPr>
          <w:rFonts w:ascii="Times New Roman" w:hAnsi="Times New Roman" w:cs="Times New Roman"/>
          <w:sz w:val="24"/>
          <w:szCs w:val="24"/>
          <w:lang w:val="en-US"/>
        </w:rPr>
        <w:t>]. Solar energy is also abundant in Colombia with irradiation levels between 1200 and 2200 kWh/m2/year, and a few monthly variations compared with the annual averag</w:t>
      </w:r>
      <w:r w:rsidR="00F55AAF">
        <w:rPr>
          <w:rFonts w:ascii="Times New Roman" w:hAnsi="Times New Roman" w:cs="Times New Roman"/>
          <w:sz w:val="24"/>
          <w:szCs w:val="24"/>
          <w:lang w:val="en-US"/>
        </w:rPr>
        <w:t>e as the most important part [13</w:t>
      </w:r>
      <w:r w:rsidRPr="003E325C">
        <w:rPr>
          <w:rFonts w:ascii="Times New Roman" w:hAnsi="Times New Roman" w:cs="Times New Roman"/>
          <w:sz w:val="24"/>
          <w:szCs w:val="24"/>
          <w:lang w:val="en-US"/>
        </w:rPr>
        <w:t>]. Biomass makes sense because the country has a competitive advantage to produce biofuels and electricity with a large agricultural sector. Only the potential of agricultural biomass residues can generate a</w:t>
      </w:r>
      <w:r w:rsidR="00F55AAF">
        <w:rPr>
          <w:rFonts w:ascii="Times New Roman" w:hAnsi="Times New Roman" w:cs="Times New Roman"/>
          <w:sz w:val="24"/>
          <w:szCs w:val="24"/>
          <w:lang w:val="en-US"/>
        </w:rPr>
        <w:t xml:space="preserve">pproximately 35 </w:t>
      </w:r>
      <w:proofErr w:type="spellStart"/>
      <w:r w:rsidR="00F55AAF">
        <w:rPr>
          <w:rFonts w:ascii="Times New Roman" w:hAnsi="Times New Roman" w:cs="Times New Roman"/>
          <w:sz w:val="24"/>
          <w:szCs w:val="24"/>
          <w:lang w:val="en-US"/>
        </w:rPr>
        <w:t>TWh</w:t>
      </w:r>
      <w:proofErr w:type="spellEnd"/>
      <w:r w:rsidR="00F55AAF">
        <w:rPr>
          <w:rFonts w:ascii="Times New Roman" w:hAnsi="Times New Roman" w:cs="Times New Roman"/>
          <w:sz w:val="24"/>
          <w:szCs w:val="24"/>
          <w:lang w:val="en-US"/>
        </w:rPr>
        <w:t>/year [13</w:t>
      </w:r>
      <w:proofErr w:type="gramStart"/>
      <w:r w:rsidR="00F55AAF">
        <w:rPr>
          <w:rFonts w:ascii="Times New Roman" w:hAnsi="Times New Roman" w:cs="Times New Roman"/>
          <w:sz w:val="24"/>
          <w:szCs w:val="24"/>
          <w:lang w:val="en-US"/>
        </w:rPr>
        <w:t>,14</w:t>
      </w:r>
      <w:proofErr w:type="gramEnd"/>
      <w:r w:rsidRPr="003E325C">
        <w:rPr>
          <w:rFonts w:ascii="Times New Roman" w:hAnsi="Times New Roman" w:cs="Times New Roman"/>
          <w:sz w:val="24"/>
          <w:szCs w:val="24"/>
          <w:lang w:val="en-US"/>
        </w:rPr>
        <w:t>], almost 70% of the electricity demand. Besides, the high potential of the forest industry stands out as the country has more than 16 million not covered hectares of natural f</w:t>
      </w:r>
      <w:r w:rsidR="00F55AAF">
        <w:rPr>
          <w:rFonts w:ascii="Times New Roman" w:hAnsi="Times New Roman" w:cs="Times New Roman"/>
          <w:sz w:val="24"/>
          <w:szCs w:val="24"/>
          <w:lang w:val="en-US"/>
        </w:rPr>
        <w:t>orests [15</w:t>
      </w:r>
      <w:proofErr w:type="gramStart"/>
      <w:r w:rsidR="00F55AAF">
        <w:rPr>
          <w:rFonts w:ascii="Times New Roman" w:hAnsi="Times New Roman" w:cs="Times New Roman"/>
          <w:sz w:val="24"/>
          <w:szCs w:val="24"/>
          <w:lang w:val="en-US"/>
        </w:rPr>
        <w:t>,16</w:t>
      </w:r>
      <w:proofErr w:type="gramEnd"/>
      <w:r w:rsidR="00F55AAF">
        <w:rPr>
          <w:rFonts w:ascii="Times New Roman" w:hAnsi="Times New Roman" w:cs="Times New Roman"/>
          <w:sz w:val="24"/>
          <w:szCs w:val="24"/>
          <w:lang w:val="en-US"/>
        </w:rPr>
        <w:t>]. As reference [10</w:t>
      </w:r>
      <w:r w:rsidRPr="003E325C">
        <w:rPr>
          <w:rFonts w:ascii="Times New Roman" w:hAnsi="Times New Roman" w:cs="Times New Roman"/>
          <w:sz w:val="24"/>
          <w:szCs w:val="24"/>
          <w:lang w:val="en-US"/>
        </w:rPr>
        <w:t>] highlights, the enhancement of biomass could trigger processes of environmental improvement, socio-economic development and new job opportunities.</w:t>
      </w:r>
    </w:p>
    <w:p w:rsid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Despite this high potential and the competitiveness of the Colombian electricity market since its structural reform in 1994, there is a lack of renewable electricity projects due to the absence of stimulus and mainly more than 70% of the demand is supplied by large hydropower plants. As a consequence, Colombia has only one 19.5 MW wind power plant up today. Fortunately, Colombian parliament recently passed the renewable energy law, which aims to encourage the construction of new clean ele</w:t>
      </w:r>
      <w:r w:rsidR="00F55AAF">
        <w:rPr>
          <w:rFonts w:ascii="Times New Roman" w:hAnsi="Times New Roman" w:cs="Times New Roman"/>
          <w:sz w:val="24"/>
          <w:szCs w:val="24"/>
          <w:lang w:val="en-US"/>
        </w:rPr>
        <w:t>ct</w:t>
      </w:r>
      <w:r w:rsidR="008C3E85">
        <w:rPr>
          <w:rFonts w:ascii="Times New Roman" w:hAnsi="Times New Roman" w:cs="Times New Roman"/>
          <w:sz w:val="24"/>
          <w:szCs w:val="24"/>
          <w:lang w:val="en-US"/>
        </w:rPr>
        <w:t>ricity generation projects [17-19</w:t>
      </w:r>
      <w:r w:rsidRPr="003E325C">
        <w:rPr>
          <w:rFonts w:ascii="Times New Roman" w:hAnsi="Times New Roman" w:cs="Times New Roman"/>
          <w:sz w:val="24"/>
          <w:szCs w:val="24"/>
          <w:lang w:val="en-US"/>
        </w:rPr>
        <w:t>]. The new law provides a series of incentives covering, income tax deduction, accelerated depreciation, and exemption and elimination of tariffs on some imported equipment; in order to make these technologies competitive with conventional fossil and hydro plants.</w:t>
      </w:r>
    </w:p>
    <w:p w:rsidR="00E47C3C" w:rsidRPr="00C855B5" w:rsidRDefault="00E47C3C" w:rsidP="003E325C">
      <w:pPr>
        <w:spacing w:after="0" w:line="240" w:lineRule="auto"/>
        <w:jc w:val="both"/>
        <w:rPr>
          <w:rFonts w:ascii="Times New Roman" w:hAnsi="Times New Roman" w:cs="Times New Roman"/>
          <w:color w:val="000000" w:themeColor="text1"/>
          <w:sz w:val="24"/>
          <w:szCs w:val="24"/>
          <w:lang w:val="en-US"/>
        </w:rPr>
      </w:pPr>
      <w:r w:rsidRPr="00C855B5">
        <w:rPr>
          <w:rFonts w:ascii="Times New Roman" w:hAnsi="Times New Roman" w:cs="Times New Roman"/>
          <w:color w:val="000000" w:themeColor="text1"/>
          <w:sz w:val="24"/>
          <w:szCs w:val="24"/>
          <w:lang w:val="en-US"/>
        </w:rPr>
        <w:t>Reference [20] provides a proposal of a home energy management model outlined in the Colombian renewable energy law</w:t>
      </w:r>
      <w:r w:rsidR="00635E83" w:rsidRPr="00C855B5">
        <w:rPr>
          <w:rFonts w:ascii="Times New Roman" w:hAnsi="Times New Roman" w:cs="Times New Roman"/>
          <w:color w:val="000000" w:themeColor="text1"/>
          <w:sz w:val="24"/>
          <w:szCs w:val="24"/>
          <w:lang w:val="en-US"/>
        </w:rPr>
        <w:t xml:space="preserve">, involving distributed generation for self-supplying, communication protocols, sensors, and intelligent metering systems. </w:t>
      </w:r>
      <w:r w:rsidR="004035B3" w:rsidRPr="00C855B5">
        <w:rPr>
          <w:rFonts w:ascii="Times New Roman" w:hAnsi="Times New Roman" w:cs="Times New Roman"/>
          <w:color w:val="000000" w:themeColor="text1"/>
          <w:sz w:val="24"/>
          <w:szCs w:val="24"/>
          <w:lang w:val="en-US"/>
        </w:rPr>
        <w:t>The results show the potential of the law to obtain more benefits, not only for the end user, but also for the whole chain value due to the lower use of energy supplied by the interconnected system, reducing the impact on the environment.</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Being Colombia a country with large renewable energy resources including hydro, wind, solar and biomass; the regulation to promote these resources will give them the impetus to be part of the energy basket. Besides, the challenge of the peace talks to give occupation to more than ten thousand militants rebel group, will be supported by new renewable energy projects especially those related to biomass, given the country`s large biomass resources and their possibility to create new jobs through agro-energetic businesses.</w:t>
      </w:r>
    </w:p>
    <w:p w:rsidR="003E325C" w:rsidRPr="003E325C" w:rsidRDefault="003E325C" w:rsidP="003E325C">
      <w:pPr>
        <w:spacing w:after="0" w:line="240" w:lineRule="auto"/>
        <w:jc w:val="both"/>
        <w:rPr>
          <w:rFonts w:ascii="Times New Roman" w:hAnsi="Times New Roman" w:cs="Times New Roman"/>
          <w:sz w:val="24"/>
          <w:szCs w:val="24"/>
          <w:lang w:val="en-US"/>
        </w:rPr>
      </w:pPr>
      <w:r w:rsidRPr="003E325C">
        <w:rPr>
          <w:rFonts w:ascii="Times New Roman" w:hAnsi="Times New Roman" w:cs="Times New Roman"/>
          <w:sz w:val="24"/>
          <w:szCs w:val="24"/>
          <w:lang w:val="en-US"/>
        </w:rPr>
        <w:t>The potential effects of the new regulation to promote the development of renewable energies in Colombia are studied in this paper. A proposed tax adjusted LCOE method which is calculated for the new incentives under the Colombian regulation, is used to determine the change in the cost of generating electricity from wind, solar PV, biomass and small hydro power projects. Two additional mechanisms are also proposed in order to make financially feasible small business ventures using forest biomass, which in opinion of the authors will play an important role in the peace process with new job opportunities to rebel groups.</w:t>
      </w:r>
    </w:p>
    <w:bookmarkEnd w:id="1"/>
    <w:bookmarkEnd w:id="2"/>
    <w:p w:rsidR="003E325C" w:rsidRDefault="003E325C" w:rsidP="00130339">
      <w:pPr>
        <w:spacing w:after="0" w:line="240" w:lineRule="auto"/>
        <w:jc w:val="both"/>
        <w:rPr>
          <w:rFonts w:ascii="Times New Roman" w:hAnsi="Times New Roman" w:cs="Times New Roman"/>
          <w:sz w:val="24"/>
          <w:szCs w:val="24"/>
          <w:lang w:val="en-US"/>
        </w:rPr>
      </w:pPr>
    </w:p>
    <w:p w:rsidR="00130339" w:rsidRDefault="00375BE8" w:rsidP="00AD47C6">
      <w:pPr>
        <w:pStyle w:val="Ttulo1"/>
        <w:numPr>
          <w:ilvl w:val="1"/>
          <w:numId w:val="1"/>
        </w:numPr>
        <w:spacing w:before="0" w:after="0" w:line="240" w:lineRule="auto"/>
        <w:ind w:left="426" w:hanging="426"/>
        <w:jc w:val="both"/>
        <w:rPr>
          <w:rFonts w:ascii="Times New Roman" w:hAnsi="Times New Roman" w:cs="Times New Roman"/>
          <w:sz w:val="24"/>
          <w:szCs w:val="24"/>
        </w:rPr>
      </w:pPr>
      <w:r w:rsidRPr="00375BE8">
        <w:rPr>
          <w:rFonts w:ascii="Times New Roman" w:hAnsi="Times New Roman" w:cs="Times New Roman"/>
          <w:sz w:val="24"/>
          <w:szCs w:val="24"/>
          <w:lang w:val="en-US"/>
        </w:rPr>
        <w:t>Me</w:t>
      </w:r>
      <w:r>
        <w:rPr>
          <w:rFonts w:ascii="Times New Roman" w:hAnsi="Times New Roman" w:cs="Times New Roman"/>
          <w:sz w:val="24"/>
          <w:szCs w:val="24"/>
          <w:lang w:val="en-US"/>
        </w:rPr>
        <w:t>t</w:t>
      </w:r>
      <w:r w:rsidRPr="00375BE8">
        <w:rPr>
          <w:rFonts w:ascii="Times New Roman" w:hAnsi="Times New Roman" w:cs="Times New Roman"/>
          <w:sz w:val="24"/>
          <w:szCs w:val="24"/>
          <w:lang w:val="en-US"/>
        </w:rPr>
        <w:t>hodology</w:t>
      </w:r>
      <w:r>
        <w:rPr>
          <w:rFonts w:ascii="Times New Roman" w:hAnsi="Times New Roman" w:cs="Times New Roman"/>
          <w:sz w:val="24"/>
          <w:szCs w:val="24"/>
          <w:highlight w:val="yellow"/>
          <w:lang w:val="en-US"/>
        </w:rPr>
        <w:t xml:space="preserve"> </w:t>
      </w:r>
      <w:r w:rsidR="00130339">
        <w:rPr>
          <w:rFonts w:ascii="Times New Roman" w:hAnsi="Times New Roman" w:cs="Times New Roman"/>
          <w:sz w:val="24"/>
          <w:szCs w:val="24"/>
        </w:rPr>
        <w:t xml:space="preserve"> </w:t>
      </w:r>
    </w:p>
    <w:p w:rsidR="00130339" w:rsidRDefault="00130339" w:rsidP="00B319F1">
      <w:pPr>
        <w:spacing w:after="0" w:line="240" w:lineRule="auto"/>
        <w:jc w:val="both"/>
        <w:rPr>
          <w:rFonts w:ascii="Times New Roman" w:hAnsi="Times New Roman" w:cs="Times New Roman"/>
          <w:sz w:val="24"/>
          <w:szCs w:val="24"/>
        </w:rPr>
      </w:pPr>
    </w:p>
    <w:p w:rsidR="00D525D3" w:rsidRPr="00375BE8" w:rsidRDefault="00D525D3" w:rsidP="00D525D3">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lastRenderedPageBreak/>
        <w:t>This work is divided into four phases. The first phase reviews the Colombian electricity market. In the second phase, the incentives for renewable energy projects are explained. The third phase deducts a mathematical expression to calculate de tax adjusted LCOE under the Colombian regulation. The last phase compares the reference LCOE (without incentives) with the tax adjusted LCOE for the most promising renewable energy technologies in Colombia under different scenarios of investment tax credits, depreciation periods, grace periods, and discount rates.</w:t>
      </w:r>
    </w:p>
    <w:p w:rsidR="008B353A" w:rsidRPr="00375BE8" w:rsidRDefault="008B353A" w:rsidP="00B319F1">
      <w:pPr>
        <w:spacing w:after="0" w:line="240" w:lineRule="auto"/>
        <w:jc w:val="both"/>
        <w:rPr>
          <w:rFonts w:ascii="Times New Roman" w:hAnsi="Times New Roman" w:cs="Times New Roman"/>
          <w:sz w:val="24"/>
          <w:szCs w:val="24"/>
          <w:lang w:val="en-US"/>
        </w:rPr>
      </w:pPr>
    </w:p>
    <w:p w:rsidR="00923C3F" w:rsidRDefault="00D525D3" w:rsidP="00AD47C6">
      <w:pPr>
        <w:pStyle w:val="Ttulo1"/>
        <w:numPr>
          <w:ilvl w:val="1"/>
          <w:numId w:val="5"/>
        </w:numPr>
        <w:spacing w:before="0" w:after="0" w:line="240" w:lineRule="auto"/>
        <w:ind w:left="426" w:hanging="426"/>
        <w:jc w:val="both"/>
        <w:rPr>
          <w:rFonts w:ascii="Times New Roman" w:hAnsi="Times New Roman" w:cs="Times New Roman"/>
          <w:bCs w:val="0"/>
          <w:sz w:val="24"/>
          <w:szCs w:val="24"/>
          <w:lang w:val="en-US"/>
        </w:rPr>
      </w:pPr>
      <w:r w:rsidRPr="00D525D3">
        <w:rPr>
          <w:rFonts w:ascii="Times New Roman" w:hAnsi="Times New Roman" w:cs="Times New Roman"/>
          <w:bCs w:val="0"/>
          <w:sz w:val="24"/>
          <w:szCs w:val="24"/>
          <w:lang w:val="en-US"/>
        </w:rPr>
        <w:t>The Colombian Electricity Market</w:t>
      </w:r>
      <w:r w:rsidRPr="00D525D3">
        <w:rPr>
          <w:lang w:val="en-US"/>
        </w:rPr>
        <w:t xml:space="preserve"> </w:t>
      </w:r>
    </w:p>
    <w:p w:rsidR="00D525D3" w:rsidRPr="00375BE8" w:rsidRDefault="00D525D3" w:rsidP="00D525D3">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During 1992, Colombia experienced the most serious electrical rationing that the country has known. Direct costs were estimated at about three billion US dollars that the Colombian society paid in many ways. Rationing was mainly due to shortages of water resources brought about by an El Niño event. This event precipitated the formation of an electric market (July 1995) and therefore, from its origins, the regulation of the Colombian electrical market does not escape the fears that are derived from a new rationing [21].</w:t>
      </w:r>
    </w:p>
    <w:p w:rsidR="00D525D3" w:rsidRPr="00375BE8" w:rsidRDefault="00D525D3" w:rsidP="00D525D3">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Consequently, the regulation of the market has been determined by the interpretation that was made of the main cause of the rationing: shortage of hydro resources. Then, the efforts have been centered in preserving the resources and replacing them with more expensive resources that are complementary and more reliable. The initial two main markets: a spot market and a long term market based on bilateral not standardized contracts have been complemented by the AGC market (payment for system regulation) and the reliability market. Besides, an Independent System Operator (ISO) solves the ideal dispatch in the spot market [22].</w:t>
      </w:r>
    </w:p>
    <w:p w:rsidR="00D525D3" w:rsidRPr="00375BE8" w:rsidRDefault="00D525D3" w:rsidP="00D525D3">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As a consequence Colombia has a reliable and efficient electric system with 70% of demand supplied by large hydropower plants and almost 30% supplied by thermal power plants. Nevertheless, higher retail prices have been observed in the last ten years, in spite of the fact that most of the energy is contracted forward. It shows the questioned price paid for reliability and that the efficiency of the market has not benefitted consumers [22].</w:t>
      </w:r>
    </w:p>
    <w:p w:rsidR="00451DD1" w:rsidRPr="00375BE8" w:rsidRDefault="00451DD1" w:rsidP="00D525D3">
      <w:pPr>
        <w:spacing w:after="0" w:line="240" w:lineRule="auto"/>
        <w:jc w:val="both"/>
        <w:rPr>
          <w:rFonts w:ascii="Times New Roman" w:hAnsi="Times New Roman" w:cs="Times New Roman"/>
          <w:sz w:val="24"/>
          <w:szCs w:val="24"/>
          <w:lang w:val="en-US"/>
        </w:rPr>
      </w:pPr>
    </w:p>
    <w:p w:rsidR="00451DD1" w:rsidRDefault="00451DD1" w:rsidP="0012272B">
      <w:pPr>
        <w:pStyle w:val="Ttulo1"/>
        <w:numPr>
          <w:ilvl w:val="1"/>
          <w:numId w:val="5"/>
        </w:numPr>
        <w:spacing w:before="0" w:after="0" w:line="240" w:lineRule="auto"/>
        <w:ind w:left="426" w:hanging="426"/>
        <w:jc w:val="both"/>
        <w:rPr>
          <w:rFonts w:ascii="Times New Roman" w:hAnsi="Times New Roman" w:cs="Times New Roman"/>
          <w:sz w:val="24"/>
          <w:szCs w:val="24"/>
          <w:lang w:val="en-US"/>
        </w:rPr>
      </w:pPr>
      <w:r w:rsidRPr="00451DD1">
        <w:rPr>
          <w:rFonts w:ascii="Times New Roman" w:hAnsi="Times New Roman" w:cs="Times New Roman"/>
          <w:sz w:val="24"/>
          <w:szCs w:val="24"/>
          <w:lang w:val="en-US"/>
        </w:rPr>
        <w:t xml:space="preserve">Renewable Energy Incentives in Colombia </w:t>
      </w:r>
    </w:p>
    <w:p w:rsidR="00451DD1" w:rsidRPr="00375BE8" w:rsidRDefault="00451DD1" w:rsidP="00451DD1">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Two mechanisms have been approved in Colombia to promote the integration of non-conventional renewabl</w:t>
      </w:r>
      <w:r w:rsidR="00BF13CD">
        <w:rPr>
          <w:rFonts w:ascii="Times New Roman" w:hAnsi="Times New Roman" w:cs="Times New Roman"/>
          <w:sz w:val="24"/>
          <w:szCs w:val="24"/>
          <w:lang w:val="en-US"/>
        </w:rPr>
        <w:t>e energy sources to the grid [17-19</w:t>
      </w:r>
      <w:r w:rsidRPr="00375BE8">
        <w:rPr>
          <w:rFonts w:ascii="Times New Roman" w:hAnsi="Times New Roman" w:cs="Times New Roman"/>
          <w:sz w:val="24"/>
          <w:szCs w:val="24"/>
          <w:lang w:val="en-US"/>
        </w:rPr>
        <w:t xml:space="preserve">]. The first included tax incentives related to: </w:t>
      </w:r>
      <w:proofErr w:type="spellStart"/>
      <w:r w:rsidRPr="00375BE8">
        <w:rPr>
          <w:rFonts w:ascii="Times New Roman" w:hAnsi="Times New Roman" w:cs="Times New Roman"/>
          <w:sz w:val="24"/>
          <w:szCs w:val="24"/>
          <w:lang w:val="en-US"/>
        </w:rPr>
        <w:t>i</w:t>
      </w:r>
      <w:proofErr w:type="spellEnd"/>
      <w:r w:rsidRPr="00375BE8">
        <w:rPr>
          <w:rFonts w:ascii="Times New Roman" w:hAnsi="Times New Roman" w:cs="Times New Roman"/>
          <w:sz w:val="24"/>
          <w:szCs w:val="24"/>
          <w:lang w:val="en-US"/>
        </w:rPr>
        <w:t>) tax deductions on the investment income statement related to these purposes; ii) tariffs, through the exemption from the payment of import duties on machinery and equipment for this type of generation; and iii) accounting, where an accelerated depreciation on assets is permitted.</w:t>
      </w:r>
    </w:p>
    <w:p w:rsidR="00451DD1" w:rsidRPr="00375BE8" w:rsidRDefault="00451DD1" w:rsidP="00451DD1">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The second mechanism in the law provides for the establishment of a Non-conventional Energy and Efficient Energy Management Fund (FENOGE), which may finance all or part of the programs and projects for the residential sector, at levels 1,2, and 3, as long as they involve small scale, self-generation solutions and promote energy efficiency and good practice.</w:t>
      </w:r>
    </w:p>
    <w:p w:rsidR="00451DD1" w:rsidRPr="00375BE8" w:rsidRDefault="00451DD1" w:rsidP="00451DD1">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The regulation has an important drawback that specially affects most small business ventures. That is the restriction to apply to investment tax reductions, which in no case should exceed 50% of the net income and can only be exercised during the first five years of operation. In most of the situations, small businesses do not have profits during this period, being unable to apply to this important incentive.</w:t>
      </w:r>
    </w:p>
    <w:p w:rsidR="00451DD1" w:rsidRPr="00375BE8" w:rsidRDefault="00451DD1" w:rsidP="00451DD1">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lastRenderedPageBreak/>
        <w:t>For this reason, two additional mechanisms are proposed in this work: grace periods for loan repayment and lower discount rates. The first one is not stated as an incentive in Colombia, but can it be a result of a deal with the lender bank which will allow apply to investment tax deductions to small business ventures as shown in the results. Lower discount rates are also studied in order to propose additional measures the government can implement to help easier access to capital markets with lower debt paying.</w:t>
      </w:r>
    </w:p>
    <w:p w:rsidR="00B31DC5" w:rsidRPr="00375BE8" w:rsidRDefault="00B31DC5" w:rsidP="00451DD1">
      <w:pPr>
        <w:spacing w:after="0" w:line="240" w:lineRule="auto"/>
        <w:jc w:val="both"/>
        <w:rPr>
          <w:rFonts w:ascii="Times New Roman" w:hAnsi="Times New Roman" w:cs="Times New Roman"/>
          <w:sz w:val="24"/>
          <w:szCs w:val="24"/>
          <w:lang w:val="en-US"/>
        </w:rPr>
      </w:pPr>
    </w:p>
    <w:p w:rsidR="00B31DC5" w:rsidRDefault="00B31DC5" w:rsidP="00B31DC5">
      <w:pPr>
        <w:pStyle w:val="Ttulo1"/>
        <w:numPr>
          <w:ilvl w:val="1"/>
          <w:numId w:val="5"/>
        </w:numPr>
        <w:spacing w:before="0" w:after="0" w:line="240" w:lineRule="auto"/>
        <w:ind w:left="426" w:hanging="426"/>
        <w:jc w:val="both"/>
        <w:rPr>
          <w:rFonts w:ascii="Times New Roman" w:hAnsi="Times New Roman" w:cs="Times New Roman"/>
          <w:sz w:val="24"/>
          <w:szCs w:val="24"/>
          <w:lang w:val="en-US"/>
        </w:rPr>
      </w:pPr>
      <w:r w:rsidRPr="00B31DC5">
        <w:rPr>
          <w:rFonts w:ascii="Times New Roman" w:hAnsi="Times New Roman" w:cs="Times New Roman"/>
          <w:sz w:val="24"/>
          <w:szCs w:val="24"/>
          <w:lang w:val="en-US"/>
        </w:rPr>
        <w:t xml:space="preserve">The Tax Adjusted </w:t>
      </w:r>
      <w:proofErr w:type="spellStart"/>
      <w:r w:rsidRPr="00B31DC5">
        <w:rPr>
          <w:rFonts w:ascii="Times New Roman" w:hAnsi="Times New Roman" w:cs="Times New Roman"/>
          <w:sz w:val="24"/>
          <w:szCs w:val="24"/>
          <w:lang w:val="en-US"/>
        </w:rPr>
        <w:t>Levelized</w:t>
      </w:r>
      <w:proofErr w:type="spellEnd"/>
      <w:r w:rsidRPr="00B31DC5">
        <w:rPr>
          <w:rFonts w:ascii="Times New Roman" w:hAnsi="Times New Roman" w:cs="Times New Roman"/>
          <w:sz w:val="24"/>
          <w:szCs w:val="24"/>
          <w:lang w:val="en-US"/>
        </w:rPr>
        <w:t xml:space="preserve"> Cost of Electricity</w:t>
      </w:r>
    </w:p>
    <w:p w:rsidR="00014DD2" w:rsidRPr="00375BE8" w:rsidRDefault="00014DD2" w:rsidP="00014DD2">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The LCOE allocates the costs of an energy plant across its useful lifetime to give an effective price per unit of electricity generated. It represents the per kilowatt-hour cost of building and operating a generating plant, so it can be divided into the unit cost of capacity (c), the time averaged operating fix costs (f) and the time averaged operating variable costs (v) as represented by equation (1) [4].</w:t>
      </w:r>
    </w:p>
    <w:p w:rsidR="00014DD2" w:rsidRPr="00375BE8" w:rsidRDefault="00014DD2" w:rsidP="00014DD2">
      <w:pPr>
        <w:spacing w:after="0" w:line="240" w:lineRule="auto"/>
        <w:jc w:val="both"/>
        <w:rPr>
          <w:rFonts w:ascii="Times New Roman" w:hAnsi="Times New Roman" w:cs="Times New Roman"/>
          <w:sz w:val="24"/>
          <w:szCs w:val="24"/>
          <w:lang w:val="en-U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Default="00014DD2" w:rsidP="00014DD2">
            <w:pPr>
              <w:jc w:val="both"/>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15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15pt" o:ole="" fillcolor="window">
                  <v:imagedata r:id="rId9" o:title=""/>
                </v:shape>
                <o:OLEObject Type="Embed" ProgID="Equation.3" ShapeID="_x0000_i1025" DrawAspect="Content" ObjectID="_1530947251" r:id="rId10"/>
              </w:object>
            </w:r>
          </w:p>
          <w:p w:rsidR="00014DD2" w:rsidRPr="00014DD2" w:rsidRDefault="00014DD2" w:rsidP="00014DD2">
            <w:pPr>
              <w:jc w:val="both"/>
              <w:rPr>
                <w:rFonts w:eastAsiaTheme="minorEastAsia"/>
                <w:sz w:val="24"/>
                <w:szCs w:val="24"/>
                <w:lang w:val="es-CO" w:eastAsia="es-CO"/>
              </w:rPr>
            </w:pPr>
          </w:p>
        </w:tc>
        <w:tc>
          <w:tcPr>
            <w:tcW w:w="246" w:type="pct"/>
            <w:vAlign w:val="center"/>
          </w:tcPr>
          <w:p w:rsidR="00014DD2" w:rsidRPr="00014DD2" w:rsidRDefault="00014DD2" w:rsidP="00014DD2">
            <w:pPr>
              <w:jc w:val="both"/>
              <w:rPr>
                <w:rFonts w:eastAsiaTheme="minorEastAsia"/>
                <w:sz w:val="24"/>
                <w:szCs w:val="24"/>
                <w:lang w:val="es-CO" w:eastAsia="es-CO"/>
              </w:rPr>
            </w:pPr>
            <w:r w:rsidRPr="00014DD2">
              <w:rPr>
                <w:rFonts w:eastAsiaTheme="minorEastAsia"/>
                <w:sz w:val="24"/>
                <w:szCs w:val="24"/>
                <w:lang w:val="es-CO" w:eastAsia="es-CO"/>
              </w:rPr>
              <w:t>(1)</w:t>
            </w:r>
          </w:p>
        </w:tc>
      </w:tr>
    </w:tbl>
    <w:p w:rsidR="00014DD2" w:rsidRPr="00375BE8" w:rsidRDefault="00014DD2" w:rsidP="00014DD2">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The unit cost of capacity can be calculated using equation (2).</w:t>
      </w:r>
    </w:p>
    <w:p w:rsidR="00014DD2" w:rsidRPr="00375BE8" w:rsidRDefault="00014DD2" w:rsidP="00014DD2">
      <w:pPr>
        <w:spacing w:after="0" w:line="240" w:lineRule="auto"/>
        <w:jc w:val="both"/>
        <w:rPr>
          <w:rFonts w:ascii="Times New Roman" w:hAnsi="Times New Roman" w:cs="Times New Roman"/>
          <w:sz w:val="24"/>
          <w:szCs w:val="24"/>
          <w:lang w:val="en-U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Pr="00014DD2" w:rsidRDefault="00014DD2" w:rsidP="00014DD2">
            <w:pPr>
              <w:jc w:val="both"/>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1320" w:dyaOrig="980">
                <v:shape id="_x0000_i1026" type="#_x0000_t75" style="width:66.25pt;height:48.95pt" o:ole="" fillcolor="window">
                  <v:imagedata r:id="rId11" o:title=""/>
                </v:shape>
                <o:OLEObject Type="Embed" ProgID="Equation.3" ShapeID="_x0000_i1026" DrawAspect="Content" ObjectID="_1530947252" r:id="rId12"/>
              </w:object>
            </w:r>
          </w:p>
        </w:tc>
        <w:tc>
          <w:tcPr>
            <w:tcW w:w="246" w:type="pct"/>
            <w:vAlign w:val="center"/>
          </w:tcPr>
          <w:p w:rsidR="00014DD2" w:rsidRPr="00014DD2" w:rsidRDefault="00014DD2" w:rsidP="00014DD2">
            <w:pPr>
              <w:jc w:val="both"/>
              <w:rPr>
                <w:rFonts w:eastAsiaTheme="minorEastAsia"/>
                <w:sz w:val="24"/>
                <w:szCs w:val="24"/>
                <w:lang w:val="es-CO" w:eastAsia="es-CO"/>
              </w:rPr>
            </w:pPr>
            <w:r w:rsidRPr="00014DD2">
              <w:rPr>
                <w:rFonts w:eastAsiaTheme="minorEastAsia"/>
                <w:sz w:val="24"/>
                <w:szCs w:val="24"/>
                <w:lang w:val="es-CO" w:eastAsia="es-CO"/>
              </w:rPr>
              <w:t>(2)</w:t>
            </w:r>
          </w:p>
        </w:tc>
      </w:tr>
    </w:tbl>
    <w:p w:rsidR="00014DD2" w:rsidRDefault="00014DD2" w:rsidP="00014DD2">
      <w:pPr>
        <w:spacing w:after="0" w:line="240" w:lineRule="auto"/>
        <w:jc w:val="both"/>
        <w:rPr>
          <w:rFonts w:ascii="Times New Roman" w:hAnsi="Times New Roman" w:cs="Times New Roman"/>
          <w:sz w:val="24"/>
          <w:szCs w:val="24"/>
        </w:rPr>
      </w:pPr>
    </w:p>
    <w:p w:rsidR="00014DD2" w:rsidRPr="00014DD2" w:rsidRDefault="00014DD2" w:rsidP="00014DD2">
      <w:pPr>
        <w:spacing w:after="0" w:line="240" w:lineRule="auto"/>
        <w:jc w:val="both"/>
        <w:rPr>
          <w:rFonts w:ascii="Times New Roman" w:hAnsi="Times New Roman" w:cs="Times New Roman"/>
          <w:sz w:val="24"/>
          <w:szCs w:val="24"/>
          <w:lang w:val="en-US"/>
        </w:rPr>
      </w:pPr>
      <w:r w:rsidRPr="00014DD2">
        <w:rPr>
          <w:rFonts w:ascii="Times New Roman" w:hAnsi="Times New Roman" w:cs="Times New Roman"/>
          <w:sz w:val="24"/>
          <w:szCs w:val="24"/>
          <w:lang w:val="en-US"/>
        </w:rPr>
        <w:t>Where:</w:t>
      </w:r>
    </w:p>
    <w:p w:rsidR="00014DD2" w:rsidRPr="00014DD2" w:rsidRDefault="00014DD2" w:rsidP="00014DD2">
      <w:pPr>
        <w:spacing w:after="0" w:line="240" w:lineRule="auto"/>
        <w:jc w:val="both"/>
        <w:rPr>
          <w:rFonts w:ascii="Times New Roman" w:hAnsi="Times New Roman" w:cs="Times New Roman"/>
          <w:sz w:val="24"/>
          <w:szCs w:val="24"/>
          <w:lang w:val="en-US"/>
        </w:rPr>
      </w:pPr>
      <w:r w:rsidRPr="00014DD2">
        <w:rPr>
          <w:rFonts w:ascii="Times New Roman" w:hAnsi="Times New Roman" w:cs="Times New Roman"/>
          <w:sz w:val="24"/>
          <w:szCs w:val="24"/>
          <w:lang w:val="en-US"/>
        </w:rPr>
        <w:t>I: initial investment</w:t>
      </w:r>
    </w:p>
    <w:p w:rsidR="00014DD2" w:rsidRPr="00014DD2" w:rsidRDefault="00014DD2" w:rsidP="00014DD2">
      <w:pPr>
        <w:spacing w:after="0" w:line="240" w:lineRule="auto"/>
        <w:jc w:val="both"/>
        <w:rPr>
          <w:rFonts w:ascii="Times New Roman" w:hAnsi="Times New Roman" w:cs="Times New Roman"/>
          <w:sz w:val="24"/>
          <w:szCs w:val="24"/>
          <w:lang w:val="en-US"/>
        </w:rPr>
      </w:pPr>
      <w:proofErr w:type="gramStart"/>
      <w:r w:rsidRPr="00014DD2">
        <w:rPr>
          <w:rFonts w:ascii="Times New Roman" w:hAnsi="Times New Roman" w:cs="Times New Roman"/>
          <w:sz w:val="24"/>
          <w:szCs w:val="24"/>
          <w:lang w:val="en-US"/>
        </w:rPr>
        <w:t>r</w:t>
      </w:r>
      <w:proofErr w:type="gramEnd"/>
      <w:r w:rsidRPr="00014DD2">
        <w:rPr>
          <w:rFonts w:ascii="Times New Roman" w:hAnsi="Times New Roman" w:cs="Times New Roman"/>
          <w:sz w:val="24"/>
          <w:szCs w:val="24"/>
          <w:lang w:val="en-US"/>
        </w:rPr>
        <w:t>: discount rate</w:t>
      </w:r>
    </w:p>
    <w:p w:rsidR="00014DD2" w:rsidRPr="00375BE8" w:rsidRDefault="00014DD2" w:rsidP="00014DD2">
      <w:pPr>
        <w:spacing w:after="0" w:line="240" w:lineRule="auto"/>
        <w:jc w:val="both"/>
        <w:rPr>
          <w:rFonts w:ascii="Times New Roman" w:hAnsi="Times New Roman" w:cs="Times New Roman"/>
          <w:sz w:val="24"/>
          <w:szCs w:val="24"/>
          <w:lang w:val="en-US"/>
        </w:rPr>
      </w:pPr>
      <w:proofErr w:type="gramStart"/>
      <w:r w:rsidRPr="00375BE8">
        <w:rPr>
          <w:rFonts w:ascii="Times New Roman" w:hAnsi="Times New Roman" w:cs="Times New Roman"/>
          <w:sz w:val="24"/>
          <w:szCs w:val="24"/>
          <w:lang w:val="en-US"/>
        </w:rPr>
        <w:t>n</w:t>
      </w:r>
      <w:proofErr w:type="gramEnd"/>
      <w:r w:rsidRPr="00375BE8">
        <w:rPr>
          <w:rFonts w:ascii="Times New Roman" w:hAnsi="Times New Roman" w:cs="Times New Roman"/>
          <w:sz w:val="24"/>
          <w:szCs w:val="24"/>
          <w:lang w:val="en-US"/>
        </w:rPr>
        <w:t>: facility expected life (in years)</w:t>
      </w:r>
    </w:p>
    <w:p w:rsidR="00014DD2" w:rsidRPr="00375BE8" w:rsidRDefault="00754EDD" w:rsidP="00014DD2">
      <w:pPr>
        <w:spacing w:after="0" w:line="240" w:lineRule="auto"/>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j</m:t>
            </m:r>
          </m:sub>
        </m:sSub>
      </m:oMath>
      <w:r w:rsidR="00014DD2" w:rsidRPr="00375BE8">
        <w:rPr>
          <w:rFonts w:ascii="Times New Roman" w:hAnsi="Times New Roman" w:cs="Times New Roman"/>
          <w:sz w:val="24"/>
          <w:szCs w:val="24"/>
          <w:lang w:val="en-US"/>
        </w:rPr>
        <w:t xml:space="preserve">: </w:t>
      </w:r>
      <w:proofErr w:type="gramStart"/>
      <w:r w:rsidR="00014DD2" w:rsidRPr="00375BE8">
        <w:rPr>
          <w:rFonts w:ascii="Times New Roman" w:hAnsi="Times New Roman" w:cs="Times New Roman"/>
          <w:sz w:val="24"/>
          <w:szCs w:val="24"/>
          <w:lang w:val="en-US"/>
        </w:rPr>
        <w:t>total</w:t>
      </w:r>
      <w:proofErr w:type="gramEnd"/>
      <w:r w:rsidR="00014DD2" w:rsidRPr="00375BE8">
        <w:rPr>
          <w:rFonts w:ascii="Times New Roman" w:hAnsi="Times New Roman" w:cs="Times New Roman"/>
          <w:sz w:val="24"/>
          <w:szCs w:val="24"/>
          <w:lang w:val="en-US"/>
        </w:rPr>
        <w:t xml:space="preserve"> electricity generated in year j</w:t>
      </w:r>
    </w:p>
    <w:p w:rsidR="00014DD2" w:rsidRPr="00375BE8" w:rsidRDefault="00014DD2" w:rsidP="00014DD2">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This cost of capacity can be affected by the incentives, which in Colombia correspond to accelerated depreciation and tax deduction. The before taxes net present value of these incentives can be calculated as:</w:t>
      </w:r>
    </w:p>
    <w:p w:rsidR="00014DD2" w:rsidRPr="00375BE8" w:rsidRDefault="00014DD2" w:rsidP="00014DD2">
      <w:pPr>
        <w:spacing w:after="0" w:line="240" w:lineRule="auto"/>
        <w:jc w:val="both"/>
        <w:rPr>
          <w:rFonts w:ascii="Times New Roman" w:hAnsi="Times New Roman" w:cs="Times New Roman"/>
          <w:sz w:val="24"/>
          <w:szCs w:val="24"/>
          <w:lang w:val="en-U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Pr="00014DD2" w:rsidRDefault="00014DD2" w:rsidP="00014DD2">
            <w:pPr>
              <w:jc w:val="both"/>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3340" w:dyaOrig="780">
                <v:shape id="_x0000_i1027" type="#_x0000_t75" style="width:167.05pt;height:39.15pt" o:ole="" fillcolor="window">
                  <v:imagedata r:id="rId13" o:title=""/>
                </v:shape>
                <o:OLEObject Type="Embed" ProgID="Equation.3" ShapeID="_x0000_i1027" DrawAspect="Content" ObjectID="_1530947253" r:id="rId14"/>
              </w:object>
            </w:r>
          </w:p>
        </w:tc>
        <w:tc>
          <w:tcPr>
            <w:tcW w:w="246" w:type="pct"/>
            <w:vAlign w:val="center"/>
          </w:tcPr>
          <w:p w:rsidR="00014DD2" w:rsidRPr="00014DD2" w:rsidRDefault="00014DD2" w:rsidP="00014DD2">
            <w:pPr>
              <w:jc w:val="both"/>
              <w:rPr>
                <w:rFonts w:eastAsiaTheme="minorEastAsia"/>
                <w:sz w:val="24"/>
                <w:szCs w:val="24"/>
                <w:lang w:val="es-CO" w:eastAsia="es-CO"/>
              </w:rPr>
            </w:pPr>
            <w:r w:rsidRPr="00014DD2">
              <w:rPr>
                <w:rFonts w:eastAsiaTheme="minorEastAsia"/>
                <w:sz w:val="24"/>
                <w:szCs w:val="24"/>
                <w:lang w:val="es-CO" w:eastAsia="es-CO"/>
              </w:rPr>
              <w:t>(3)</w:t>
            </w:r>
          </w:p>
        </w:tc>
      </w:tr>
    </w:tbl>
    <w:p w:rsidR="00014DD2" w:rsidRDefault="00014DD2" w:rsidP="00014DD2">
      <w:pPr>
        <w:spacing w:after="0" w:line="240" w:lineRule="auto"/>
        <w:jc w:val="both"/>
        <w:rPr>
          <w:rFonts w:ascii="Times New Roman" w:hAnsi="Times New Roman" w:cs="Times New Roman"/>
          <w:sz w:val="24"/>
          <w:szCs w:val="24"/>
        </w:rPr>
      </w:pPr>
    </w:p>
    <w:p w:rsidR="00014DD2" w:rsidRPr="00014DD2" w:rsidRDefault="00014DD2" w:rsidP="00014DD2">
      <w:pPr>
        <w:spacing w:after="0" w:line="240" w:lineRule="auto"/>
        <w:jc w:val="both"/>
        <w:rPr>
          <w:rFonts w:ascii="Times New Roman" w:hAnsi="Times New Roman" w:cs="Times New Roman"/>
          <w:sz w:val="24"/>
          <w:szCs w:val="24"/>
          <w:lang w:val="en-US"/>
        </w:rPr>
      </w:pPr>
      <w:r w:rsidRPr="00014DD2">
        <w:rPr>
          <w:rFonts w:ascii="Times New Roman" w:hAnsi="Times New Roman" w:cs="Times New Roman"/>
          <w:sz w:val="24"/>
          <w:szCs w:val="24"/>
          <w:lang w:val="en-US"/>
        </w:rPr>
        <w:t xml:space="preserve">Where, </w:t>
      </w:r>
      <w:proofErr w:type="spellStart"/>
      <w:r w:rsidRPr="00014DD2">
        <w:rPr>
          <w:rFonts w:ascii="Times New Roman" w:hAnsi="Times New Roman" w:cs="Times New Roman"/>
          <w:sz w:val="24"/>
          <w:szCs w:val="24"/>
          <w:lang w:val="en-US"/>
        </w:rPr>
        <w:t>i</w:t>
      </w:r>
      <w:proofErr w:type="spellEnd"/>
      <w:r w:rsidRPr="00014DD2">
        <w:rPr>
          <w:rFonts w:ascii="Times New Roman" w:hAnsi="Times New Roman" w:cs="Times New Roman"/>
          <w:sz w:val="24"/>
          <w:szCs w:val="24"/>
          <w:lang w:val="en-US"/>
        </w:rPr>
        <w:t xml:space="preserve"> denotes the investment tax credits, t is the effective corporate tax income rate, T1 represents the maximum number of years to apply the investment tax credits and T2 the useful life of the power generating facility for accelerated depreciation purposes (in years).</w:t>
      </w:r>
    </w:p>
    <w:p w:rsidR="00014DD2" w:rsidRPr="00375BE8" w:rsidRDefault="00014DD2" w:rsidP="00014DD2">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Under Colombian renewable energy law new clean energy projects will receive up to 50% tax credits, but they can only be applied during the first five years. According to the earnings report, some restrictions would make no possible to deduct the 50% tax credits in the first year for all the companies. In general, investment tax credits can be calculated as shown in equation (4).</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Pr="00014DD2" w:rsidRDefault="00014DD2" w:rsidP="00014DD2">
            <w:pPr>
              <w:jc w:val="both"/>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1260" w:dyaOrig="720">
                <v:shape id="_x0000_i1028" type="#_x0000_t75" style="width:62.8pt;height:36.3pt" o:ole="" fillcolor="window">
                  <v:imagedata r:id="rId15" o:title=""/>
                </v:shape>
                <o:OLEObject Type="Embed" ProgID="Equation.3" ShapeID="_x0000_i1028" DrawAspect="Content" ObjectID="_1530947254" r:id="rId16"/>
              </w:object>
            </w:r>
          </w:p>
        </w:tc>
        <w:tc>
          <w:tcPr>
            <w:tcW w:w="246" w:type="pct"/>
            <w:vAlign w:val="center"/>
          </w:tcPr>
          <w:p w:rsidR="00014DD2" w:rsidRPr="00014DD2" w:rsidRDefault="00014DD2" w:rsidP="00014DD2">
            <w:pPr>
              <w:jc w:val="both"/>
              <w:rPr>
                <w:rFonts w:eastAsiaTheme="minorEastAsia"/>
                <w:sz w:val="24"/>
                <w:szCs w:val="24"/>
                <w:lang w:val="es-CO" w:eastAsia="es-CO"/>
              </w:rPr>
            </w:pPr>
            <w:r w:rsidRPr="00014DD2">
              <w:rPr>
                <w:rFonts w:eastAsiaTheme="minorEastAsia"/>
                <w:sz w:val="24"/>
                <w:szCs w:val="24"/>
                <w:lang w:val="es-CO" w:eastAsia="es-CO"/>
              </w:rPr>
              <w:t>(4)</w:t>
            </w:r>
          </w:p>
        </w:tc>
      </w:tr>
    </w:tbl>
    <w:p w:rsidR="00014DD2" w:rsidRPr="00375BE8" w:rsidRDefault="00014DD2" w:rsidP="00014DD2">
      <w:pPr>
        <w:spacing w:after="0" w:line="240" w:lineRule="auto"/>
        <w:rPr>
          <w:rFonts w:ascii="Times New Roman" w:hAnsi="Times New Roman" w:cs="Times New Roman"/>
          <w:sz w:val="24"/>
          <w:szCs w:val="24"/>
          <w:lang w:val="en-US"/>
        </w:rPr>
      </w:pPr>
      <w:r w:rsidRPr="00375BE8">
        <w:rPr>
          <w:rFonts w:ascii="Times New Roman" w:hAnsi="Times New Roman" w:cs="Times New Roman"/>
          <w:sz w:val="24"/>
          <w:szCs w:val="24"/>
          <w:lang w:val="en-US"/>
        </w:rPr>
        <w:lastRenderedPageBreak/>
        <w:t>Therefore, on a pre-tax basis, the unit cost of capacity is adjusted to include the effects of incentives as shown in equation (5).</w:t>
      </w:r>
    </w:p>
    <w:p w:rsidR="00014DD2" w:rsidRPr="00375BE8" w:rsidRDefault="00014DD2" w:rsidP="00014DD2">
      <w:pPr>
        <w:spacing w:after="0" w:line="240" w:lineRule="auto"/>
        <w:rPr>
          <w:rFonts w:ascii="Times New Roman" w:hAnsi="Times New Roman" w:cs="Times New Roman"/>
          <w:sz w:val="24"/>
          <w:szCs w:val="24"/>
          <w:lang w:val="en-U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Pr="00014DD2" w:rsidRDefault="00146932" w:rsidP="00014DD2">
            <w:pPr>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5660" w:dyaOrig="1080">
                <v:shape id="_x0000_i1029" type="#_x0000_t75" style="width:247.7pt;height:47.25pt" o:ole="" fillcolor="window">
                  <v:imagedata r:id="rId17" o:title=""/>
                </v:shape>
                <o:OLEObject Type="Embed" ProgID="Equation.3" ShapeID="_x0000_i1029" DrawAspect="Content" ObjectID="_1530947255" r:id="rId18"/>
              </w:object>
            </w:r>
          </w:p>
        </w:tc>
        <w:tc>
          <w:tcPr>
            <w:tcW w:w="246" w:type="pct"/>
            <w:vAlign w:val="center"/>
          </w:tcPr>
          <w:p w:rsidR="00014DD2" w:rsidRPr="00014DD2" w:rsidRDefault="00014DD2" w:rsidP="00014DD2">
            <w:pPr>
              <w:rPr>
                <w:rFonts w:eastAsiaTheme="minorEastAsia"/>
                <w:sz w:val="24"/>
                <w:szCs w:val="24"/>
                <w:lang w:val="es-CO" w:eastAsia="es-CO"/>
              </w:rPr>
            </w:pPr>
            <w:r w:rsidRPr="00014DD2">
              <w:rPr>
                <w:rFonts w:eastAsiaTheme="minorEastAsia"/>
                <w:sz w:val="24"/>
                <w:szCs w:val="24"/>
                <w:lang w:val="es-CO" w:eastAsia="es-CO"/>
              </w:rPr>
              <w:t>(5)</w:t>
            </w:r>
          </w:p>
        </w:tc>
      </w:tr>
    </w:tbl>
    <w:p w:rsidR="00014DD2" w:rsidRDefault="00014DD2" w:rsidP="00014DD2">
      <w:pPr>
        <w:spacing w:after="0" w:line="240" w:lineRule="auto"/>
        <w:jc w:val="both"/>
        <w:rPr>
          <w:rFonts w:ascii="Times New Roman" w:hAnsi="Times New Roman" w:cs="Times New Roman"/>
          <w:sz w:val="24"/>
          <w:szCs w:val="24"/>
          <w:lang w:val="en-US"/>
        </w:rPr>
      </w:pPr>
    </w:p>
    <w:p w:rsidR="00014DD2" w:rsidRPr="00014DD2" w:rsidRDefault="00014DD2" w:rsidP="00014DD2">
      <w:pPr>
        <w:spacing w:after="0" w:line="240" w:lineRule="auto"/>
        <w:jc w:val="both"/>
        <w:rPr>
          <w:rFonts w:ascii="Times New Roman" w:hAnsi="Times New Roman" w:cs="Times New Roman"/>
          <w:sz w:val="24"/>
          <w:szCs w:val="24"/>
          <w:lang w:val="en-US"/>
        </w:rPr>
      </w:pPr>
      <w:r w:rsidRPr="00014DD2">
        <w:rPr>
          <w:rFonts w:ascii="Times New Roman" w:hAnsi="Times New Roman" w:cs="Times New Roman"/>
          <w:sz w:val="24"/>
          <w:szCs w:val="24"/>
          <w:lang w:val="en-US"/>
        </w:rPr>
        <w:t>For the purposes of calculating the LCOE, the overall effect of income taxes is then summarized by the tax factor ∆ shown in equations (6) and (7).</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Pr="00375BE8" w:rsidRDefault="00014DD2" w:rsidP="00014DD2">
            <w:pPr>
              <w:jc w:val="both"/>
              <w:rPr>
                <w:rFonts w:eastAsiaTheme="minorEastAsia"/>
                <w:sz w:val="24"/>
                <w:szCs w:val="24"/>
                <w:lang w:eastAsia="es-CO"/>
              </w:rPr>
            </w:pPr>
          </w:p>
          <w:p w:rsidR="00014DD2" w:rsidRPr="00014DD2" w:rsidRDefault="00014DD2" w:rsidP="00014DD2">
            <w:pPr>
              <w:jc w:val="both"/>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960" w:dyaOrig="380">
                <v:shape id="_x0000_i1030" type="#_x0000_t75" style="width:47.8pt;height:19pt" o:ole="" fillcolor="window">
                  <v:imagedata r:id="rId19" o:title=""/>
                </v:shape>
                <o:OLEObject Type="Embed" ProgID="Equation.3" ShapeID="_x0000_i1030" DrawAspect="Content" ObjectID="_1530947256" r:id="rId20"/>
              </w:object>
            </w:r>
          </w:p>
        </w:tc>
        <w:tc>
          <w:tcPr>
            <w:tcW w:w="246" w:type="pct"/>
            <w:vAlign w:val="center"/>
          </w:tcPr>
          <w:p w:rsidR="00014DD2" w:rsidRPr="00014DD2" w:rsidRDefault="00014DD2" w:rsidP="00014DD2">
            <w:pPr>
              <w:jc w:val="both"/>
              <w:rPr>
                <w:rFonts w:eastAsiaTheme="minorEastAsia"/>
                <w:sz w:val="24"/>
                <w:szCs w:val="24"/>
                <w:lang w:val="es-CO" w:eastAsia="es-CO"/>
              </w:rPr>
            </w:pPr>
            <w:r w:rsidRPr="00014DD2">
              <w:rPr>
                <w:rFonts w:eastAsiaTheme="minorEastAsia"/>
                <w:sz w:val="24"/>
                <w:szCs w:val="24"/>
                <w:lang w:val="es-CO" w:eastAsia="es-CO"/>
              </w:rPr>
              <w:t>(6)</w:t>
            </w:r>
          </w:p>
        </w:tc>
      </w:tr>
    </w:tbl>
    <w:p w:rsidR="00014DD2" w:rsidRDefault="00014DD2" w:rsidP="00014DD2">
      <w:pPr>
        <w:spacing w:after="0" w:line="240" w:lineRule="auto"/>
        <w:jc w:val="both"/>
        <w:rPr>
          <w:rFonts w:ascii="Times New Roman" w:hAnsi="Times New Roman" w:cs="Times New Roman"/>
          <w:sz w:val="24"/>
          <w:szCs w:val="24"/>
        </w:rPr>
      </w:pPr>
    </w:p>
    <w:p w:rsidR="00014DD2" w:rsidRPr="00014DD2" w:rsidRDefault="00014DD2" w:rsidP="00014DD2">
      <w:pPr>
        <w:spacing w:after="0" w:line="240" w:lineRule="auto"/>
        <w:jc w:val="both"/>
        <w:rPr>
          <w:rFonts w:ascii="Times New Roman" w:hAnsi="Times New Roman" w:cs="Times New Roman"/>
          <w:sz w:val="24"/>
          <w:szCs w:val="24"/>
        </w:rPr>
      </w:pPr>
      <w:proofErr w:type="spellStart"/>
      <w:r w:rsidRPr="00014DD2">
        <w:rPr>
          <w:rFonts w:ascii="Times New Roman" w:hAnsi="Times New Roman" w:cs="Times New Roman"/>
          <w:sz w:val="24"/>
          <w:szCs w:val="24"/>
        </w:rPr>
        <w:t>Where</w:t>
      </w:r>
      <w:proofErr w:type="spellEnd"/>
      <w:r w:rsidRPr="00014DD2">
        <w:rPr>
          <w:rFonts w:ascii="Times New Roman" w:hAnsi="Times New Roman" w:cs="Times New Roman"/>
          <w:sz w:val="24"/>
          <w:szCs w:val="24"/>
        </w:rPr>
        <w:t>:</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Pr="00014DD2" w:rsidRDefault="00014DD2" w:rsidP="00014DD2">
            <w:pPr>
              <w:jc w:val="both"/>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3600" w:dyaOrig="820">
                <v:shape id="_x0000_i1031" type="#_x0000_t75" style="width:188.35pt;height:43.2pt" o:ole="" fillcolor="window">
                  <v:imagedata r:id="rId21" o:title=""/>
                </v:shape>
                <o:OLEObject Type="Embed" ProgID="Equation.3" ShapeID="_x0000_i1031" DrawAspect="Content" ObjectID="_1530947257" r:id="rId22"/>
              </w:object>
            </w:r>
          </w:p>
        </w:tc>
        <w:tc>
          <w:tcPr>
            <w:tcW w:w="246" w:type="pct"/>
            <w:vAlign w:val="center"/>
          </w:tcPr>
          <w:p w:rsidR="00014DD2" w:rsidRPr="00014DD2" w:rsidRDefault="00014DD2" w:rsidP="00014DD2">
            <w:pPr>
              <w:jc w:val="both"/>
              <w:rPr>
                <w:rFonts w:eastAsiaTheme="minorEastAsia"/>
                <w:sz w:val="24"/>
                <w:szCs w:val="24"/>
                <w:lang w:val="es-CO" w:eastAsia="es-CO"/>
              </w:rPr>
            </w:pPr>
            <w:r w:rsidRPr="00014DD2">
              <w:rPr>
                <w:rFonts w:eastAsiaTheme="minorEastAsia"/>
                <w:sz w:val="24"/>
                <w:szCs w:val="24"/>
                <w:lang w:val="es-CO" w:eastAsia="es-CO"/>
              </w:rPr>
              <w:t>(7)</w:t>
            </w:r>
          </w:p>
        </w:tc>
      </w:tr>
    </w:tbl>
    <w:p w:rsidR="00014DD2" w:rsidRDefault="00014DD2" w:rsidP="00014DD2">
      <w:pPr>
        <w:spacing w:after="0" w:line="240" w:lineRule="auto"/>
        <w:jc w:val="both"/>
        <w:rPr>
          <w:rFonts w:ascii="Times New Roman" w:hAnsi="Times New Roman" w:cs="Times New Roman"/>
          <w:sz w:val="24"/>
          <w:szCs w:val="24"/>
        </w:rPr>
      </w:pPr>
    </w:p>
    <w:p w:rsidR="00014DD2" w:rsidRPr="00375BE8" w:rsidRDefault="00014DD2" w:rsidP="00014DD2">
      <w:pPr>
        <w:spacing w:after="0" w:line="240" w:lineRule="auto"/>
        <w:jc w:val="both"/>
        <w:rPr>
          <w:rFonts w:ascii="Times New Roman" w:hAnsi="Times New Roman" w:cs="Times New Roman"/>
          <w:sz w:val="24"/>
          <w:szCs w:val="24"/>
          <w:lang w:val="en-US"/>
        </w:rPr>
      </w:pPr>
      <w:r w:rsidRPr="00014DD2">
        <w:rPr>
          <w:rFonts w:ascii="Times New Roman" w:hAnsi="Times New Roman" w:cs="Times New Roman"/>
          <w:sz w:val="24"/>
          <w:szCs w:val="24"/>
          <w:lang w:val="en-US"/>
        </w:rPr>
        <w:t xml:space="preserve">This tax factor differs from the one shown in reference [4] as the latter assumes that tax deductions can be applied at the time of the investment, which is not possible in Colombia. </w:t>
      </w:r>
      <w:r w:rsidRPr="00375BE8">
        <w:rPr>
          <w:rFonts w:ascii="Times New Roman" w:hAnsi="Times New Roman" w:cs="Times New Roman"/>
          <w:sz w:val="24"/>
          <w:szCs w:val="24"/>
          <w:lang w:val="en-US"/>
        </w:rPr>
        <w:t>Finally, LCOE calculation under the consideration of the tax factor effect can be summarized as:</w:t>
      </w:r>
    </w:p>
    <w:p w:rsidR="00014DD2" w:rsidRPr="00375BE8" w:rsidRDefault="00014DD2" w:rsidP="00014DD2">
      <w:pPr>
        <w:spacing w:after="0" w:line="240" w:lineRule="auto"/>
        <w:jc w:val="both"/>
        <w:rPr>
          <w:rFonts w:ascii="Times New Roman" w:hAnsi="Times New Roman" w:cs="Times New Roman"/>
          <w:sz w:val="24"/>
          <w:szCs w:val="24"/>
          <w:lang w:val="en-US"/>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3"/>
        <w:gridCol w:w="435"/>
      </w:tblGrid>
      <w:tr w:rsidR="00014DD2" w:rsidRPr="00014DD2" w:rsidTr="0012272B">
        <w:trPr>
          <w:jc w:val="center"/>
        </w:trPr>
        <w:tc>
          <w:tcPr>
            <w:tcW w:w="4754" w:type="pct"/>
          </w:tcPr>
          <w:p w:rsidR="00014DD2" w:rsidRPr="00014DD2" w:rsidRDefault="00014DD2" w:rsidP="00014DD2">
            <w:pPr>
              <w:jc w:val="both"/>
              <w:rPr>
                <w:rFonts w:eastAsiaTheme="minorEastAsia"/>
                <w:sz w:val="24"/>
                <w:szCs w:val="24"/>
                <w:lang w:val="es-CO" w:eastAsia="es-CO"/>
              </w:rPr>
            </w:pPr>
            <w:r w:rsidRPr="00014DD2">
              <w:rPr>
                <w:rFonts w:asciiTheme="minorHAnsi" w:eastAsiaTheme="minorEastAsia" w:hAnsiTheme="minorHAnsi" w:cstheme="minorBidi"/>
                <w:sz w:val="24"/>
                <w:szCs w:val="24"/>
                <w:lang w:val="es-CO" w:eastAsia="es-CO"/>
              </w:rPr>
              <w:object w:dxaOrig="1680" w:dyaOrig="300">
                <v:shape id="_x0000_i1032" type="#_x0000_t75" style="width:84.1pt;height:15pt" o:ole="" fillcolor="window">
                  <v:imagedata r:id="rId23" o:title=""/>
                </v:shape>
                <o:OLEObject Type="Embed" ProgID="Equation.3" ShapeID="_x0000_i1032" DrawAspect="Content" ObjectID="_1530947258" r:id="rId24"/>
              </w:object>
            </w:r>
          </w:p>
        </w:tc>
        <w:tc>
          <w:tcPr>
            <w:tcW w:w="246" w:type="pct"/>
            <w:vAlign w:val="center"/>
          </w:tcPr>
          <w:p w:rsidR="00014DD2" w:rsidRPr="00014DD2" w:rsidRDefault="00014DD2" w:rsidP="00014DD2">
            <w:pPr>
              <w:jc w:val="both"/>
              <w:rPr>
                <w:rFonts w:eastAsiaTheme="minorEastAsia"/>
                <w:sz w:val="24"/>
                <w:szCs w:val="24"/>
                <w:lang w:val="es-CO" w:eastAsia="es-CO"/>
              </w:rPr>
            </w:pPr>
            <w:r w:rsidRPr="00014DD2">
              <w:rPr>
                <w:rFonts w:eastAsiaTheme="minorEastAsia"/>
                <w:sz w:val="24"/>
                <w:szCs w:val="24"/>
                <w:lang w:val="es-CO" w:eastAsia="es-CO"/>
              </w:rPr>
              <w:t>(8)</w:t>
            </w:r>
          </w:p>
        </w:tc>
      </w:tr>
    </w:tbl>
    <w:p w:rsidR="00014DD2" w:rsidRPr="00014DD2" w:rsidRDefault="00014DD2" w:rsidP="00014DD2">
      <w:pPr>
        <w:spacing w:after="0" w:line="240" w:lineRule="auto"/>
        <w:jc w:val="both"/>
        <w:rPr>
          <w:rFonts w:ascii="Times New Roman" w:hAnsi="Times New Roman" w:cs="Times New Roman"/>
          <w:sz w:val="24"/>
          <w:szCs w:val="24"/>
        </w:rPr>
      </w:pPr>
    </w:p>
    <w:p w:rsidR="00B319F1" w:rsidRPr="001D700C" w:rsidRDefault="00B319F1" w:rsidP="00B319F1">
      <w:pPr>
        <w:spacing w:after="0" w:line="240" w:lineRule="auto"/>
        <w:jc w:val="both"/>
        <w:rPr>
          <w:rFonts w:ascii="Times New Roman" w:hAnsi="Times New Roman" w:cs="Times New Roman"/>
          <w:sz w:val="24"/>
          <w:szCs w:val="24"/>
          <w:lang w:val="en-US"/>
        </w:rPr>
      </w:pPr>
    </w:p>
    <w:bookmarkEnd w:id="0"/>
    <w:p w:rsidR="002102BA" w:rsidRDefault="00146932" w:rsidP="00AD47C6">
      <w:pPr>
        <w:pStyle w:val="Ttulo1"/>
        <w:numPr>
          <w:ilvl w:val="1"/>
          <w:numId w:val="1"/>
        </w:numPr>
        <w:spacing w:before="0" w:after="0" w:line="24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Tests</w:t>
      </w:r>
      <w:proofErr w:type="spellEnd"/>
      <w:r>
        <w:rPr>
          <w:rFonts w:ascii="Times New Roman" w:hAnsi="Times New Roman" w:cs="Times New Roman"/>
          <w:sz w:val="24"/>
          <w:szCs w:val="24"/>
        </w:rPr>
        <w:t xml:space="preserve"> and </w:t>
      </w:r>
      <w:proofErr w:type="spellStart"/>
      <w:r w:rsidR="002102BA" w:rsidRPr="002102BA">
        <w:rPr>
          <w:rFonts w:ascii="Times New Roman" w:hAnsi="Times New Roman" w:cs="Times New Roman"/>
          <w:sz w:val="24"/>
          <w:szCs w:val="24"/>
        </w:rPr>
        <w:t>Results</w:t>
      </w:r>
      <w:proofErr w:type="spellEnd"/>
    </w:p>
    <w:p w:rsidR="00232A6C" w:rsidRDefault="00232A6C" w:rsidP="00B319F1">
      <w:pPr>
        <w:spacing w:after="0" w:line="240" w:lineRule="auto"/>
        <w:jc w:val="both"/>
        <w:rPr>
          <w:rFonts w:ascii="Times New Roman" w:hAnsi="Times New Roman" w:cs="Times New Roman"/>
          <w:sz w:val="24"/>
          <w:szCs w:val="24"/>
        </w:rPr>
      </w:pPr>
    </w:p>
    <w:p w:rsidR="00014DD2" w:rsidRPr="00375BE8" w:rsidRDefault="00014DD2" w:rsidP="00014DD2">
      <w:p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The tax factor adjusted LCOE as deducted in equations (1) to (8) is used in this work as a metric measuring to compare the effects of the incentives proposed to be applied in Colombia. The reference discount rate used in this work is 8.10% which is calculated according to the WACC method for the regulated part of the electrical sector. The study is applied to the five most promising clean energy</w:t>
      </w:r>
      <w:r w:rsidR="00BF13CD">
        <w:rPr>
          <w:rFonts w:ascii="Times New Roman" w:hAnsi="Times New Roman" w:cs="Times New Roman"/>
          <w:sz w:val="24"/>
          <w:szCs w:val="24"/>
          <w:lang w:val="en-US"/>
        </w:rPr>
        <w:t xml:space="preserve"> technologies in the country [19</w:t>
      </w:r>
      <w:r w:rsidRPr="00375BE8">
        <w:rPr>
          <w:rFonts w:ascii="Times New Roman" w:hAnsi="Times New Roman" w:cs="Times New Roman"/>
          <w:sz w:val="24"/>
          <w:szCs w:val="24"/>
          <w:lang w:val="en-US"/>
        </w:rPr>
        <w:t>].</w:t>
      </w:r>
    </w:p>
    <w:p w:rsidR="00B319F1" w:rsidRPr="00375BE8" w:rsidRDefault="00B319F1" w:rsidP="00B319F1">
      <w:pPr>
        <w:spacing w:after="0" w:line="240" w:lineRule="auto"/>
        <w:jc w:val="both"/>
        <w:rPr>
          <w:rFonts w:ascii="Times New Roman" w:hAnsi="Times New Roman" w:cs="Times New Roman"/>
          <w:sz w:val="24"/>
          <w:szCs w:val="24"/>
          <w:lang w:val="en-US"/>
        </w:rPr>
      </w:pPr>
    </w:p>
    <w:p w:rsidR="00923C3F" w:rsidRPr="00146932" w:rsidRDefault="00C75C0F" w:rsidP="00146932">
      <w:pPr>
        <w:pStyle w:val="Ttulo1"/>
        <w:numPr>
          <w:ilvl w:val="1"/>
          <w:numId w:val="7"/>
        </w:numPr>
        <w:spacing w:before="0" w:after="0" w:line="240" w:lineRule="auto"/>
        <w:jc w:val="both"/>
        <w:rPr>
          <w:rFonts w:ascii="Times New Roman" w:hAnsi="Times New Roman" w:cs="Times New Roman"/>
          <w:bCs w:val="0"/>
          <w:sz w:val="24"/>
          <w:szCs w:val="24"/>
          <w:lang w:val="en-US"/>
        </w:rPr>
      </w:pPr>
      <w:r>
        <w:rPr>
          <w:rFonts w:ascii="Times New Roman" w:hAnsi="Times New Roman" w:cs="Times New Roman"/>
          <w:bCs w:val="0"/>
          <w:sz w:val="24"/>
          <w:szCs w:val="24"/>
          <w:lang w:val="en-US"/>
        </w:rPr>
        <w:t xml:space="preserve"> </w:t>
      </w:r>
      <w:r w:rsidRPr="00C75C0F">
        <w:rPr>
          <w:rFonts w:ascii="Times New Roman" w:hAnsi="Times New Roman" w:cs="Times New Roman"/>
          <w:bCs w:val="0"/>
          <w:sz w:val="24"/>
          <w:szCs w:val="24"/>
          <w:lang w:val="en-US"/>
        </w:rPr>
        <w:t>Investigated Cases</w:t>
      </w:r>
    </w:p>
    <w:p w:rsidR="00C75C0F" w:rsidRPr="00375BE8" w:rsidRDefault="00C75C0F" w:rsidP="00C75C0F">
      <w:pPr>
        <w:spacing w:after="0" w:line="240" w:lineRule="auto"/>
        <w:jc w:val="both"/>
        <w:rPr>
          <w:rFonts w:ascii="Times New Roman" w:hAnsi="Times New Roman" w:cs="Times New Roman"/>
          <w:sz w:val="24"/>
          <w:szCs w:val="24"/>
          <w:lang w:val="en-US"/>
        </w:rPr>
      </w:pPr>
      <w:r w:rsidRPr="00C75C0F">
        <w:rPr>
          <w:rFonts w:ascii="Times New Roman" w:hAnsi="Times New Roman" w:cs="Times New Roman"/>
          <w:sz w:val="24"/>
          <w:szCs w:val="24"/>
          <w:lang w:val="en-US"/>
        </w:rPr>
        <w:t xml:space="preserve">The base case corresponds to the LCOE without incentives of the renewable energy technologies: solar PV, wind, biomass cogeneration, forest biomass and small hydropower. </w:t>
      </w:r>
      <w:r w:rsidRPr="00375BE8">
        <w:rPr>
          <w:rFonts w:ascii="Times New Roman" w:hAnsi="Times New Roman" w:cs="Times New Roman"/>
          <w:sz w:val="24"/>
          <w:szCs w:val="24"/>
          <w:lang w:val="en-US"/>
        </w:rPr>
        <w:t>The following scenarios were analyzed for the proposed technologies with the purpose of studying the LCOE under these considerations:</w:t>
      </w:r>
    </w:p>
    <w:p w:rsidR="00C75C0F" w:rsidRPr="00375BE8" w:rsidRDefault="00C75C0F" w:rsidP="0061035D">
      <w:pPr>
        <w:pStyle w:val="Prrafodelista"/>
        <w:numPr>
          <w:ilvl w:val="0"/>
          <w:numId w:val="12"/>
        </w:num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Applying investment tax credits during the first five years of plant operation.</w:t>
      </w:r>
    </w:p>
    <w:p w:rsidR="00C75C0F" w:rsidRPr="0061035D" w:rsidRDefault="00C75C0F" w:rsidP="0061035D">
      <w:pPr>
        <w:pStyle w:val="Prrafodelista"/>
        <w:numPr>
          <w:ilvl w:val="0"/>
          <w:numId w:val="12"/>
        </w:numPr>
        <w:spacing w:after="0" w:line="240" w:lineRule="auto"/>
        <w:jc w:val="both"/>
        <w:rPr>
          <w:rFonts w:ascii="Times New Roman" w:hAnsi="Times New Roman" w:cs="Times New Roman"/>
          <w:sz w:val="24"/>
          <w:szCs w:val="24"/>
        </w:rPr>
      </w:pPr>
      <w:proofErr w:type="spellStart"/>
      <w:r w:rsidRPr="0061035D">
        <w:rPr>
          <w:rFonts w:ascii="Times New Roman" w:hAnsi="Times New Roman" w:cs="Times New Roman"/>
          <w:sz w:val="24"/>
          <w:szCs w:val="24"/>
        </w:rPr>
        <w:t>Using</w:t>
      </w:r>
      <w:proofErr w:type="spellEnd"/>
      <w:r w:rsidRPr="0061035D">
        <w:rPr>
          <w:rFonts w:ascii="Times New Roman" w:hAnsi="Times New Roman" w:cs="Times New Roman"/>
          <w:sz w:val="24"/>
          <w:szCs w:val="24"/>
        </w:rPr>
        <w:t xml:space="preserve"> </w:t>
      </w:r>
      <w:proofErr w:type="spellStart"/>
      <w:r w:rsidRPr="0061035D">
        <w:rPr>
          <w:rFonts w:ascii="Times New Roman" w:hAnsi="Times New Roman" w:cs="Times New Roman"/>
          <w:sz w:val="24"/>
          <w:szCs w:val="24"/>
        </w:rPr>
        <w:t>accelerated</w:t>
      </w:r>
      <w:proofErr w:type="spellEnd"/>
      <w:r w:rsidRPr="0061035D">
        <w:rPr>
          <w:rFonts w:ascii="Times New Roman" w:hAnsi="Times New Roman" w:cs="Times New Roman"/>
          <w:sz w:val="24"/>
          <w:szCs w:val="24"/>
        </w:rPr>
        <w:t xml:space="preserve"> </w:t>
      </w:r>
      <w:proofErr w:type="spellStart"/>
      <w:r w:rsidRPr="0061035D">
        <w:rPr>
          <w:rFonts w:ascii="Times New Roman" w:hAnsi="Times New Roman" w:cs="Times New Roman"/>
          <w:sz w:val="24"/>
          <w:szCs w:val="24"/>
        </w:rPr>
        <w:t>depreciation</w:t>
      </w:r>
      <w:proofErr w:type="spellEnd"/>
      <w:r w:rsidRPr="0061035D">
        <w:rPr>
          <w:rFonts w:ascii="Times New Roman" w:hAnsi="Times New Roman" w:cs="Times New Roman"/>
          <w:sz w:val="24"/>
          <w:szCs w:val="24"/>
        </w:rPr>
        <w:t xml:space="preserve"> </w:t>
      </w:r>
      <w:proofErr w:type="spellStart"/>
      <w:r w:rsidRPr="0061035D">
        <w:rPr>
          <w:rFonts w:ascii="Times New Roman" w:hAnsi="Times New Roman" w:cs="Times New Roman"/>
          <w:sz w:val="24"/>
          <w:szCs w:val="24"/>
        </w:rPr>
        <w:t>methods</w:t>
      </w:r>
      <w:proofErr w:type="spellEnd"/>
      <w:r w:rsidRPr="0061035D">
        <w:rPr>
          <w:rFonts w:ascii="Times New Roman" w:hAnsi="Times New Roman" w:cs="Times New Roman"/>
          <w:sz w:val="24"/>
          <w:szCs w:val="24"/>
        </w:rPr>
        <w:t>.</w:t>
      </w:r>
    </w:p>
    <w:p w:rsidR="00C75C0F" w:rsidRPr="00375BE8" w:rsidRDefault="00C75C0F" w:rsidP="0061035D">
      <w:pPr>
        <w:pStyle w:val="Prrafodelista"/>
        <w:numPr>
          <w:ilvl w:val="0"/>
          <w:numId w:val="12"/>
        </w:num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Granting several years as grace period for loan repayment.</w:t>
      </w:r>
    </w:p>
    <w:p w:rsidR="00C75C0F" w:rsidRPr="00375BE8" w:rsidRDefault="00C75C0F" w:rsidP="0061035D">
      <w:pPr>
        <w:pStyle w:val="Prrafodelista"/>
        <w:numPr>
          <w:ilvl w:val="0"/>
          <w:numId w:val="12"/>
        </w:numPr>
        <w:spacing w:after="0" w:line="240" w:lineRule="auto"/>
        <w:jc w:val="both"/>
        <w:rPr>
          <w:rFonts w:ascii="Times New Roman" w:hAnsi="Times New Roman" w:cs="Times New Roman"/>
          <w:sz w:val="24"/>
          <w:szCs w:val="24"/>
          <w:lang w:val="en-US"/>
        </w:rPr>
      </w:pPr>
      <w:r w:rsidRPr="00375BE8">
        <w:rPr>
          <w:rFonts w:ascii="Times New Roman" w:hAnsi="Times New Roman" w:cs="Times New Roman"/>
          <w:sz w:val="24"/>
          <w:szCs w:val="24"/>
          <w:lang w:val="en-US"/>
        </w:rPr>
        <w:t>Providing access to capital markets with lower discount rate.</w:t>
      </w:r>
    </w:p>
    <w:p w:rsidR="0061035D" w:rsidRPr="0061035D" w:rsidRDefault="0061035D" w:rsidP="0061035D">
      <w:pPr>
        <w:pStyle w:val="Ttulo1"/>
        <w:spacing w:before="0" w:after="0" w:line="240" w:lineRule="auto"/>
        <w:ind w:left="360"/>
        <w:jc w:val="both"/>
        <w:rPr>
          <w:rFonts w:ascii="Times New Roman" w:hAnsi="Times New Roman" w:cs="Times New Roman"/>
          <w:bCs w:val="0"/>
          <w:sz w:val="24"/>
          <w:szCs w:val="24"/>
          <w:lang w:val="en-US"/>
        </w:rPr>
      </w:pPr>
    </w:p>
    <w:p w:rsidR="0061035D" w:rsidRPr="00146932" w:rsidRDefault="0061035D" w:rsidP="0061035D">
      <w:pPr>
        <w:pStyle w:val="Ttulo1"/>
        <w:numPr>
          <w:ilvl w:val="1"/>
          <w:numId w:val="7"/>
        </w:numPr>
        <w:spacing w:before="0" w:after="0" w:line="240" w:lineRule="auto"/>
        <w:jc w:val="both"/>
        <w:rPr>
          <w:rFonts w:ascii="Times New Roman" w:hAnsi="Times New Roman" w:cs="Times New Roman"/>
          <w:bCs w:val="0"/>
          <w:sz w:val="24"/>
          <w:szCs w:val="24"/>
          <w:lang w:val="en-US"/>
        </w:rPr>
      </w:pPr>
      <w:r w:rsidRPr="0061035D">
        <w:rPr>
          <w:rFonts w:ascii="Times New Roman" w:hAnsi="Times New Roman" w:cs="Times New Roman"/>
          <w:bCs w:val="0"/>
          <w:sz w:val="24"/>
          <w:szCs w:val="24"/>
          <w:lang w:val="en-US"/>
        </w:rPr>
        <w:t>Model Input Parameters</w:t>
      </w:r>
    </w:p>
    <w:p w:rsidR="0061035D" w:rsidRPr="00375BE8" w:rsidRDefault="0061035D" w:rsidP="0061035D">
      <w:pPr>
        <w:spacing w:after="0" w:line="240" w:lineRule="auto"/>
        <w:jc w:val="both"/>
        <w:rPr>
          <w:rFonts w:ascii="Times New Roman" w:hAnsi="Times New Roman" w:cs="Times New Roman"/>
          <w:sz w:val="24"/>
          <w:szCs w:val="24"/>
          <w:lang w:val="en-US"/>
        </w:rPr>
      </w:pPr>
      <w:r w:rsidRPr="0061035D">
        <w:rPr>
          <w:rFonts w:ascii="Times New Roman" w:hAnsi="Times New Roman" w:cs="Times New Roman"/>
          <w:sz w:val="24"/>
          <w:szCs w:val="24"/>
          <w:lang w:val="en-US"/>
        </w:rPr>
        <w:t xml:space="preserve">The input parameters are shown in Table 1 for the five most promising clean energy technologies with the </w:t>
      </w:r>
      <w:r w:rsidR="00BF13CD">
        <w:rPr>
          <w:rFonts w:ascii="Times New Roman" w:hAnsi="Times New Roman" w:cs="Times New Roman"/>
          <w:sz w:val="24"/>
          <w:szCs w:val="24"/>
          <w:lang w:val="en-US"/>
        </w:rPr>
        <w:t>values reported in reference</w:t>
      </w:r>
      <w:r w:rsidR="00B7129C">
        <w:rPr>
          <w:rFonts w:ascii="Times New Roman" w:hAnsi="Times New Roman" w:cs="Times New Roman"/>
          <w:sz w:val="24"/>
          <w:szCs w:val="24"/>
          <w:lang w:val="en-US"/>
        </w:rPr>
        <w:t>s [16</w:t>
      </w:r>
      <w:proofErr w:type="gramStart"/>
      <w:r w:rsidR="00B7129C">
        <w:rPr>
          <w:rFonts w:ascii="Times New Roman" w:hAnsi="Times New Roman" w:cs="Times New Roman"/>
          <w:sz w:val="24"/>
          <w:szCs w:val="24"/>
          <w:lang w:val="en-US"/>
        </w:rPr>
        <w:t>,19</w:t>
      </w:r>
      <w:proofErr w:type="gramEnd"/>
      <w:r w:rsidRPr="0061035D">
        <w:rPr>
          <w:rFonts w:ascii="Times New Roman" w:hAnsi="Times New Roman" w:cs="Times New Roman"/>
          <w:sz w:val="24"/>
          <w:szCs w:val="24"/>
          <w:lang w:val="en-US"/>
        </w:rPr>
        <w:t xml:space="preserve">]. </w:t>
      </w:r>
      <w:r w:rsidRPr="00375BE8">
        <w:rPr>
          <w:rFonts w:ascii="Times New Roman" w:hAnsi="Times New Roman" w:cs="Times New Roman"/>
          <w:sz w:val="24"/>
          <w:szCs w:val="24"/>
          <w:lang w:val="en-US"/>
        </w:rPr>
        <w:t>These technologies are: biomass cogeneration (Bio-</w:t>
      </w:r>
      <w:proofErr w:type="spellStart"/>
      <w:r w:rsidRPr="00375BE8">
        <w:rPr>
          <w:rFonts w:ascii="Times New Roman" w:hAnsi="Times New Roman" w:cs="Times New Roman"/>
          <w:sz w:val="24"/>
          <w:szCs w:val="24"/>
          <w:lang w:val="en-US"/>
        </w:rPr>
        <w:t>cogen</w:t>
      </w:r>
      <w:proofErr w:type="spellEnd"/>
      <w:r w:rsidRPr="00375BE8">
        <w:rPr>
          <w:rFonts w:ascii="Times New Roman" w:hAnsi="Times New Roman" w:cs="Times New Roman"/>
          <w:sz w:val="24"/>
          <w:szCs w:val="24"/>
          <w:lang w:val="en-US"/>
        </w:rPr>
        <w:t>), small hydro (S-hydro), wind, solar photovoltaic (PV), and forest biomass (Bio-forest). The input parameters include: a) Investment cost, b) Discount rate, c) Capacity factor, d) Life span in years, e) Fixed cost in USD/kWh-year, and f) Variable cost in USD/MWh. The model output corresponds to the tax adjusted LCOE, calculated under the Colombian regulation.</w:t>
      </w:r>
    </w:p>
    <w:p w:rsidR="0061035D" w:rsidRPr="00375BE8" w:rsidRDefault="0061035D" w:rsidP="0061035D">
      <w:pPr>
        <w:spacing w:after="0" w:line="240" w:lineRule="auto"/>
        <w:jc w:val="both"/>
        <w:rPr>
          <w:rFonts w:ascii="Times New Roman" w:hAnsi="Times New Roman" w:cs="Times New Roman"/>
          <w:sz w:val="24"/>
          <w:szCs w:val="24"/>
          <w:lang w:val="en-US"/>
        </w:rPr>
      </w:pPr>
    </w:p>
    <w:p w:rsidR="0061035D" w:rsidRPr="0061035D" w:rsidRDefault="0061035D" w:rsidP="0061035D">
      <w:pPr>
        <w:spacing w:after="0" w:line="240" w:lineRule="auto"/>
        <w:jc w:val="center"/>
        <w:rPr>
          <w:rFonts w:ascii="Times New Roman" w:hAnsi="Times New Roman" w:cs="Times New Roman"/>
          <w:sz w:val="24"/>
          <w:szCs w:val="24"/>
        </w:rPr>
      </w:pPr>
      <w:proofErr w:type="spellStart"/>
      <w:r w:rsidRPr="0061035D">
        <w:rPr>
          <w:rFonts w:ascii="Times New Roman" w:hAnsi="Times New Roman" w:cs="Times New Roman"/>
          <w:b/>
          <w:sz w:val="24"/>
          <w:szCs w:val="24"/>
        </w:rPr>
        <w:t>Table</w:t>
      </w:r>
      <w:proofErr w:type="spellEnd"/>
      <w:r w:rsidRPr="0061035D">
        <w:rPr>
          <w:rFonts w:ascii="Times New Roman" w:hAnsi="Times New Roman" w:cs="Times New Roman"/>
          <w:b/>
          <w:sz w:val="24"/>
          <w:szCs w:val="24"/>
        </w:rPr>
        <w:t xml:space="preserve"> 1. Model input parameters.</w:t>
      </w:r>
      <w:r w:rsidRPr="0061035D">
        <w:rPr>
          <w:rFonts w:ascii="Times New Roman" w:hAnsi="Times New Roman" w:cs="Times New Roman"/>
          <w:sz w:val="24"/>
          <w:szCs w:val="24"/>
        </w:rPr>
        <w:t xml:space="preserve"> </w:t>
      </w:r>
    </w:p>
    <w:tbl>
      <w:tblPr>
        <w:tblStyle w:val="Mdeck5tablebodythreelines"/>
        <w:tblW w:w="9058" w:type="dxa"/>
        <w:tblBorders>
          <w:top w:val="single" w:sz="8" w:space="0" w:color="auto"/>
          <w:left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2"/>
        <w:gridCol w:w="1675"/>
        <w:gridCol w:w="1170"/>
        <w:gridCol w:w="1049"/>
        <w:gridCol w:w="1251"/>
        <w:gridCol w:w="1251"/>
      </w:tblGrid>
      <w:tr w:rsidR="0061035D" w:rsidRPr="000154F4" w:rsidTr="0061035D">
        <w:trPr>
          <w:cnfStyle w:val="100000000000" w:firstRow="1" w:lastRow="0" w:firstColumn="0" w:lastColumn="0" w:oddVBand="0" w:evenVBand="0" w:oddHBand="0" w:evenHBand="0" w:firstRowFirstColumn="0" w:firstRowLastColumn="0" w:lastRowFirstColumn="0" w:lastRowLastColumn="0"/>
        </w:trPr>
        <w:tc>
          <w:tcPr>
            <w:tcW w:w="2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1035D" w:rsidRPr="0061035D" w:rsidRDefault="0061035D" w:rsidP="0061035D">
            <w:pPr>
              <w:spacing w:line="240" w:lineRule="auto"/>
              <w:jc w:val="both"/>
              <w:rPr>
                <w:rFonts w:eastAsiaTheme="minorEastAsia"/>
                <w:snapToGrid/>
                <w:sz w:val="24"/>
                <w:szCs w:val="24"/>
                <w:lang w:val="es-CO" w:eastAsia="es-CO"/>
              </w:rPr>
            </w:pPr>
            <w:r w:rsidRPr="0061035D">
              <w:rPr>
                <w:rFonts w:eastAsiaTheme="minorEastAsia"/>
                <w:snapToGrid/>
                <w:sz w:val="24"/>
                <w:szCs w:val="24"/>
                <w:lang w:val="es-CO" w:eastAsia="es-CO"/>
              </w:rPr>
              <w:t xml:space="preserve">                          </w:t>
            </w:r>
          </w:p>
        </w:tc>
        <w:tc>
          <w:tcPr>
            <w:tcW w:w="167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1035D" w:rsidRPr="0061035D" w:rsidRDefault="0061035D" w:rsidP="0061035D">
            <w:pPr>
              <w:spacing w:line="240" w:lineRule="auto"/>
              <w:jc w:val="both"/>
              <w:rPr>
                <w:rFonts w:eastAsiaTheme="minorEastAsia"/>
                <w:b/>
                <w:snapToGrid/>
                <w:sz w:val="24"/>
                <w:szCs w:val="24"/>
                <w:lang w:val="es-CO" w:eastAsia="es-CO"/>
              </w:rPr>
            </w:pPr>
            <w:proofErr w:type="spellStart"/>
            <w:r w:rsidRPr="0061035D">
              <w:rPr>
                <w:rFonts w:eastAsiaTheme="minorEastAsia"/>
                <w:b/>
                <w:snapToGrid/>
                <w:sz w:val="24"/>
                <w:szCs w:val="24"/>
                <w:lang w:val="es-CO" w:eastAsia="es-CO"/>
              </w:rPr>
              <w:t>Bio</w:t>
            </w:r>
            <w:proofErr w:type="spellEnd"/>
            <w:r w:rsidRPr="0061035D">
              <w:rPr>
                <w:rFonts w:eastAsiaTheme="minorEastAsia"/>
                <w:b/>
                <w:snapToGrid/>
                <w:sz w:val="24"/>
                <w:szCs w:val="24"/>
                <w:lang w:val="es-CO" w:eastAsia="es-CO"/>
              </w:rPr>
              <w:t>-cogen</w:t>
            </w:r>
          </w:p>
        </w:tc>
        <w:tc>
          <w:tcPr>
            <w:tcW w:w="11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1035D" w:rsidRPr="0061035D" w:rsidRDefault="0061035D" w:rsidP="0061035D">
            <w:pPr>
              <w:spacing w:line="240" w:lineRule="auto"/>
              <w:jc w:val="both"/>
              <w:rPr>
                <w:rFonts w:eastAsiaTheme="minorEastAsia"/>
                <w:b/>
                <w:snapToGrid/>
                <w:sz w:val="24"/>
                <w:szCs w:val="24"/>
                <w:lang w:val="es-CO" w:eastAsia="es-CO"/>
              </w:rPr>
            </w:pPr>
            <w:r w:rsidRPr="0061035D">
              <w:rPr>
                <w:rFonts w:eastAsiaTheme="minorEastAsia"/>
                <w:b/>
                <w:snapToGrid/>
                <w:sz w:val="24"/>
                <w:szCs w:val="24"/>
                <w:lang w:val="es-CO" w:eastAsia="es-CO"/>
              </w:rPr>
              <w:t>S-hydro</w:t>
            </w:r>
          </w:p>
        </w:tc>
        <w:tc>
          <w:tcPr>
            <w:tcW w:w="104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1035D" w:rsidRPr="0061035D" w:rsidRDefault="0061035D" w:rsidP="0061035D">
            <w:pPr>
              <w:spacing w:line="240" w:lineRule="auto"/>
              <w:jc w:val="both"/>
              <w:rPr>
                <w:rFonts w:eastAsiaTheme="minorEastAsia"/>
                <w:b/>
                <w:snapToGrid/>
                <w:sz w:val="24"/>
                <w:szCs w:val="24"/>
                <w:lang w:val="es-CO" w:eastAsia="es-CO"/>
              </w:rPr>
            </w:pPr>
            <w:r w:rsidRPr="0061035D">
              <w:rPr>
                <w:rFonts w:eastAsiaTheme="minorEastAsia"/>
                <w:b/>
                <w:snapToGrid/>
                <w:sz w:val="24"/>
                <w:szCs w:val="24"/>
                <w:lang w:val="es-CO" w:eastAsia="es-CO"/>
              </w:rPr>
              <w:t>Wind</w:t>
            </w:r>
          </w:p>
        </w:tc>
        <w:tc>
          <w:tcPr>
            <w:tcW w:w="12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1035D" w:rsidRPr="0061035D" w:rsidRDefault="0061035D" w:rsidP="0061035D">
            <w:pPr>
              <w:spacing w:line="240" w:lineRule="auto"/>
              <w:jc w:val="both"/>
              <w:rPr>
                <w:rFonts w:eastAsiaTheme="minorEastAsia"/>
                <w:b/>
                <w:snapToGrid/>
                <w:sz w:val="24"/>
                <w:szCs w:val="24"/>
                <w:lang w:val="es-CO" w:eastAsia="es-CO"/>
              </w:rPr>
            </w:pPr>
            <w:r w:rsidRPr="0061035D">
              <w:rPr>
                <w:rFonts w:eastAsiaTheme="minorEastAsia"/>
                <w:b/>
                <w:snapToGrid/>
                <w:sz w:val="24"/>
                <w:szCs w:val="24"/>
                <w:lang w:val="es-CO" w:eastAsia="es-CO"/>
              </w:rPr>
              <w:t>PV</w:t>
            </w:r>
          </w:p>
        </w:tc>
        <w:tc>
          <w:tcPr>
            <w:tcW w:w="12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61035D" w:rsidRPr="0061035D" w:rsidRDefault="0061035D" w:rsidP="0061035D">
            <w:pPr>
              <w:spacing w:line="240" w:lineRule="auto"/>
              <w:jc w:val="both"/>
              <w:rPr>
                <w:rFonts w:eastAsiaTheme="minorEastAsia"/>
                <w:b/>
                <w:snapToGrid/>
                <w:sz w:val="24"/>
                <w:szCs w:val="24"/>
                <w:lang w:val="es-CO" w:eastAsia="es-CO"/>
              </w:rPr>
            </w:pPr>
            <w:r w:rsidRPr="0061035D">
              <w:rPr>
                <w:rFonts w:eastAsiaTheme="minorEastAsia"/>
                <w:b/>
                <w:snapToGrid/>
                <w:sz w:val="24"/>
                <w:szCs w:val="24"/>
                <w:lang w:val="es-CO" w:eastAsia="es-CO"/>
              </w:rPr>
              <w:t>Bio-forest</w:t>
            </w:r>
          </w:p>
        </w:tc>
      </w:tr>
      <w:tr w:rsidR="0061035D" w:rsidRPr="000154F4" w:rsidTr="0061035D">
        <w:tc>
          <w:tcPr>
            <w:tcW w:w="2662"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Investment (US/kW)</w:t>
            </w:r>
          </w:p>
        </w:tc>
        <w:tc>
          <w:tcPr>
            <w:tcW w:w="1675"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2000</w:t>
            </w:r>
          </w:p>
        </w:tc>
        <w:tc>
          <w:tcPr>
            <w:tcW w:w="1170"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2130</w:t>
            </w:r>
          </w:p>
        </w:tc>
        <w:tc>
          <w:tcPr>
            <w:tcW w:w="1049"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2300</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2500</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2200</w:t>
            </w:r>
          </w:p>
        </w:tc>
      </w:tr>
      <w:tr w:rsidR="0061035D" w:rsidRPr="000154F4" w:rsidTr="0061035D">
        <w:tc>
          <w:tcPr>
            <w:tcW w:w="2662"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Discount rate (%)</w:t>
            </w:r>
          </w:p>
        </w:tc>
        <w:tc>
          <w:tcPr>
            <w:tcW w:w="1675"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8.10</w:t>
            </w:r>
          </w:p>
        </w:tc>
        <w:tc>
          <w:tcPr>
            <w:tcW w:w="1170"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8.10</w:t>
            </w:r>
          </w:p>
        </w:tc>
        <w:tc>
          <w:tcPr>
            <w:tcW w:w="1049"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8.10</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8.10</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8.10</w:t>
            </w:r>
          </w:p>
        </w:tc>
      </w:tr>
      <w:tr w:rsidR="0061035D" w:rsidRPr="000154F4" w:rsidTr="0061035D">
        <w:tc>
          <w:tcPr>
            <w:tcW w:w="2662"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Capacity factor (%)</w:t>
            </w:r>
          </w:p>
        </w:tc>
        <w:tc>
          <w:tcPr>
            <w:tcW w:w="1675"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82.75</w:t>
            </w:r>
          </w:p>
        </w:tc>
        <w:tc>
          <w:tcPr>
            <w:tcW w:w="1170"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62.56</w:t>
            </w:r>
          </w:p>
        </w:tc>
        <w:tc>
          <w:tcPr>
            <w:tcW w:w="1049"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40.0</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18.77</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77.0</w:t>
            </w:r>
          </w:p>
        </w:tc>
      </w:tr>
      <w:tr w:rsidR="0061035D" w:rsidRPr="000154F4" w:rsidTr="0061035D">
        <w:tc>
          <w:tcPr>
            <w:tcW w:w="2662"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Life span (years)</w:t>
            </w:r>
          </w:p>
        </w:tc>
        <w:tc>
          <w:tcPr>
            <w:tcW w:w="1675"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20</w:t>
            </w:r>
          </w:p>
        </w:tc>
        <w:tc>
          <w:tcPr>
            <w:tcW w:w="1170"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30</w:t>
            </w:r>
          </w:p>
        </w:tc>
        <w:tc>
          <w:tcPr>
            <w:tcW w:w="1049"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25</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25</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15</w:t>
            </w:r>
          </w:p>
        </w:tc>
      </w:tr>
      <w:tr w:rsidR="0061035D" w:rsidRPr="000154F4" w:rsidTr="0061035D">
        <w:tc>
          <w:tcPr>
            <w:tcW w:w="2662" w:type="dxa"/>
          </w:tcPr>
          <w:p w:rsidR="0061035D" w:rsidRPr="00375BE8" w:rsidRDefault="0061035D" w:rsidP="0061035D">
            <w:pPr>
              <w:spacing w:line="240" w:lineRule="auto"/>
              <w:jc w:val="both"/>
              <w:rPr>
                <w:sz w:val="24"/>
                <w:szCs w:val="24"/>
                <w:lang w:val="en-US" w:eastAsia="es-CO"/>
              </w:rPr>
            </w:pPr>
            <w:r w:rsidRPr="00375BE8">
              <w:rPr>
                <w:sz w:val="24"/>
                <w:szCs w:val="24"/>
                <w:lang w:val="en-US" w:eastAsia="es-CO"/>
              </w:rPr>
              <w:t>Fixed costs (US$/kW-yr)</w:t>
            </w:r>
          </w:p>
        </w:tc>
        <w:tc>
          <w:tcPr>
            <w:tcW w:w="1675"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43.27</w:t>
            </w:r>
          </w:p>
        </w:tc>
        <w:tc>
          <w:tcPr>
            <w:tcW w:w="1170"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49.70</w:t>
            </w:r>
          </w:p>
        </w:tc>
        <w:tc>
          <w:tcPr>
            <w:tcW w:w="1049"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82.66</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180.14</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90.75</w:t>
            </w:r>
          </w:p>
        </w:tc>
      </w:tr>
      <w:tr w:rsidR="0061035D" w:rsidRPr="000154F4" w:rsidTr="0061035D">
        <w:tc>
          <w:tcPr>
            <w:tcW w:w="2662"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Var. costs (US$/MWh)</w:t>
            </w:r>
          </w:p>
        </w:tc>
        <w:tc>
          <w:tcPr>
            <w:tcW w:w="1675"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4.20</w:t>
            </w:r>
          </w:p>
        </w:tc>
        <w:tc>
          <w:tcPr>
            <w:tcW w:w="1170"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5.00</w:t>
            </w:r>
          </w:p>
        </w:tc>
        <w:tc>
          <w:tcPr>
            <w:tcW w:w="1049"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5.80</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0</w:t>
            </w:r>
          </w:p>
        </w:tc>
        <w:tc>
          <w:tcPr>
            <w:tcW w:w="1251" w:type="dxa"/>
          </w:tcPr>
          <w:p w:rsidR="0061035D" w:rsidRPr="0061035D" w:rsidRDefault="0061035D" w:rsidP="0061035D">
            <w:pPr>
              <w:spacing w:line="240" w:lineRule="auto"/>
              <w:jc w:val="both"/>
              <w:rPr>
                <w:sz w:val="24"/>
                <w:szCs w:val="24"/>
                <w:lang w:val="es-CO" w:eastAsia="es-CO"/>
              </w:rPr>
            </w:pPr>
            <w:r w:rsidRPr="0061035D">
              <w:rPr>
                <w:sz w:val="24"/>
                <w:szCs w:val="24"/>
                <w:lang w:val="es-CO" w:eastAsia="es-CO"/>
              </w:rPr>
              <w:t>36.1</w:t>
            </w:r>
          </w:p>
        </w:tc>
      </w:tr>
    </w:tbl>
    <w:p w:rsidR="0061035D" w:rsidRDefault="0061035D" w:rsidP="0061035D">
      <w:pPr>
        <w:spacing w:after="0" w:line="240" w:lineRule="auto"/>
        <w:jc w:val="both"/>
        <w:rPr>
          <w:rFonts w:ascii="Times New Roman" w:hAnsi="Times New Roman" w:cs="Times New Roman"/>
          <w:sz w:val="24"/>
          <w:szCs w:val="24"/>
        </w:rPr>
      </w:pPr>
    </w:p>
    <w:p w:rsidR="0061035D" w:rsidRPr="0061035D" w:rsidRDefault="00BF13CD" w:rsidP="0061035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Source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reference</w:t>
      </w:r>
      <w:r w:rsidR="00B7129C">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B7129C">
        <w:rPr>
          <w:rFonts w:ascii="Times New Roman" w:hAnsi="Times New Roman" w:cs="Times New Roman"/>
          <w:sz w:val="24"/>
          <w:szCs w:val="24"/>
        </w:rPr>
        <w:t>16,</w:t>
      </w:r>
      <w:r>
        <w:rPr>
          <w:rFonts w:ascii="Times New Roman" w:hAnsi="Times New Roman" w:cs="Times New Roman"/>
          <w:sz w:val="24"/>
          <w:szCs w:val="24"/>
        </w:rPr>
        <w:t>19</w:t>
      </w:r>
      <w:r w:rsidR="0061035D" w:rsidRPr="0061035D">
        <w:rPr>
          <w:rFonts w:ascii="Times New Roman" w:hAnsi="Times New Roman" w:cs="Times New Roman"/>
          <w:sz w:val="24"/>
          <w:szCs w:val="24"/>
        </w:rPr>
        <w:t>]</w:t>
      </w:r>
    </w:p>
    <w:p w:rsidR="0061035D" w:rsidRPr="0061035D" w:rsidRDefault="0061035D" w:rsidP="0061035D">
      <w:pPr>
        <w:rPr>
          <w:lang w:val="en-US"/>
        </w:rPr>
      </w:pPr>
    </w:p>
    <w:p w:rsidR="009E148F" w:rsidRPr="009E148F" w:rsidRDefault="0061035D" w:rsidP="009E148F">
      <w:pPr>
        <w:pStyle w:val="Ttulo1"/>
        <w:numPr>
          <w:ilvl w:val="1"/>
          <w:numId w:val="7"/>
        </w:numPr>
        <w:spacing w:before="0" w:after="0" w:line="240" w:lineRule="auto"/>
        <w:jc w:val="both"/>
        <w:rPr>
          <w:rFonts w:ascii="Times New Roman" w:hAnsi="Times New Roman" w:cs="Times New Roman"/>
          <w:bCs w:val="0"/>
          <w:sz w:val="24"/>
          <w:szCs w:val="24"/>
          <w:lang w:val="en-US"/>
        </w:rPr>
      </w:pPr>
      <w:r w:rsidRPr="0061035D">
        <w:rPr>
          <w:rFonts w:ascii="Times New Roman" w:hAnsi="Times New Roman" w:cs="Times New Roman"/>
          <w:bCs w:val="0"/>
          <w:sz w:val="24"/>
          <w:szCs w:val="24"/>
          <w:lang w:val="en-US"/>
        </w:rPr>
        <w:t>Results and Discussion</w:t>
      </w:r>
    </w:p>
    <w:p w:rsidR="009E148F" w:rsidRPr="009E148F" w:rsidRDefault="009E148F" w:rsidP="009E148F">
      <w:pPr>
        <w:pStyle w:val="Prrafodelista"/>
        <w:numPr>
          <w:ilvl w:val="2"/>
          <w:numId w:val="7"/>
        </w:numPr>
        <w:spacing w:after="0" w:line="240" w:lineRule="auto"/>
        <w:jc w:val="both"/>
        <w:rPr>
          <w:rFonts w:ascii="Times New Roman" w:hAnsi="Times New Roman" w:cs="Times New Roman"/>
          <w:b/>
          <w:sz w:val="24"/>
          <w:szCs w:val="24"/>
          <w:lang w:val="en-US"/>
        </w:rPr>
      </w:pPr>
      <w:r w:rsidRPr="009E148F">
        <w:rPr>
          <w:rFonts w:ascii="Times New Roman" w:eastAsiaTheme="minorHAnsi" w:hAnsi="Times New Roman" w:cs="Times New Roman"/>
          <w:b/>
          <w:sz w:val="24"/>
          <w:szCs w:val="24"/>
          <w:lang w:val="en-US"/>
        </w:rPr>
        <w:t>The reference case</w:t>
      </w:r>
    </w:p>
    <w:p w:rsidR="009E148F" w:rsidRDefault="009E148F" w:rsidP="009E148F">
      <w:pPr>
        <w:pStyle w:val="MDPI33textspaceafter"/>
        <w:ind w:firstLine="0"/>
      </w:pPr>
      <w:r w:rsidRPr="009E148F">
        <w:rPr>
          <w:rFonts w:ascii="Times New Roman" w:eastAsiaTheme="minorHAnsi" w:hAnsi="Times New Roman"/>
          <w:snapToGrid/>
          <w:color w:val="auto"/>
          <w:sz w:val="24"/>
          <w:szCs w:val="24"/>
          <w:lang w:eastAsia="es-CO" w:bidi="ar-SA"/>
        </w:rPr>
        <w:t>The reference case assumptions (without incentives) were tested for the five most promising clean energy technologies described in section 3.2. Table 2 shows the results where biomass cogeneration ranks as the most competitive one with LCOE of 47.90 US$/MWh, followed by small hydro with 47.90 US$/MWh, and PV as the most expensive with 203.63 US$/MWh. It can be observed that forest biomass, wind and PV are not competitive with prices above the grid parity in Colombia</w:t>
      </w:r>
      <w:r>
        <w:t>.</w:t>
      </w:r>
    </w:p>
    <w:p w:rsidR="00146932" w:rsidRDefault="00146932" w:rsidP="009E148F">
      <w:pPr>
        <w:pStyle w:val="MDPI33textspaceafter"/>
        <w:ind w:firstLine="0"/>
      </w:pPr>
    </w:p>
    <w:p w:rsidR="00146932" w:rsidRPr="000154F4" w:rsidRDefault="00146932" w:rsidP="009E148F">
      <w:pPr>
        <w:pStyle w:val="MDPI33textspaceafter"/>
        <w:ind w:firstLine="0"/>
      </w:pPr>
    </w:p>
    <w:p w:rsidR="001D5B39" w:rsidRDefault="001D5B39" w:rsidP="009E148F">
      <w:pPr>
        <w:pStyle w:val="MDPI33textspaceafter"/>
        <w:ind w:firstLine="0"/>
        <w:jc w:val="center"/>
        <w:rPr>
          <w:rFonts w:ascii="Times New Roman" w:eastAsiaTheme="minorHAnsi" w:hAnsi="Times New Roman"/>
          <w:b/>
          <w:snapToGrid/>
          <w:color w:val="auto"/>
          <w:sz w:val="24"/>
          <w:szCs w:val="24"/>
          <w:lang w:eastAsia="es-CO" w:bidi="ar-SA"/>
        </w:rPr>
      </w:pPr>
    </w:p>
    <w:p w:rsidR="009E148F" w:rsidRPr="009E148F" w:rsidRDefault="009E148F" w:rsidP="009E148F">
      <w:pPr>
        <w:pStyle w:val="MDPI33textspaceafter"/>
        <w:ind w:firstLine="0"/>
        <w:jc w:val="center"/>
        <w:rPr>
          <w:rFonts w:ascii="Times New Roman" w:eastAsiaTheme="minorHAnsi" w:hAnsi="Times New Roman"/>
          <w:b/>
          <w:snapToGrid/>
          <w:color w:val="auto"/>
          <w:sz w:val="24"/>
          <w:szCs w:val="24"/>
          <w:lang w:eastAsia="es-CO" w:bidi="ar-SA"/>
        </w:rPr>
      </w:pPr>
      <w:proofErr w:type="gramStart"/>
      <w:r w:rsidRPr="009E148F">
        <w:rPr>
          <w:rFonts w:ascii="Times New Roman" w:eastAsiaTheme="minorHAnsi" w:hAnsi="Times New Roman"/>
          <w:b/>
          <w:snapToGrid/>
          <w:color w:val="auto"/>
          <w:sz w:val="24"/>
          <w:szCs w:val="24"/>
          <w:lang w:eastAsia="es-CO" w:bidi="ar-SA"/>
        </w:rPr>
        <w:t>Table 2.</w:t>
      </w:r>
      <w:proofErr w:type="gramEnd"/>
      <w:r w:rsidRPr="009E148F">
        <w:rPr>
          <w:rFonts w:ascii="Times New Roman" w:eastAsiaTheme="minorHAnsi" w:hAnsi="Times New Roman"/>
          <w:b/>
          <w:snapToGrid/>
          <w:color w:val="auto"/>
          <w:sz w:val="24"/>
          <w:szCs w:val="24"/>
          <w:lang w:eastAsia="es-CO" w:bidi="ar-SA"/>
        </w:rPr>
        <w:t xml:space="preserve"> </w:t>
      </w:r>
      <w:proofErr w:type="gramStart"/>
      <w:r w:rsidRPr="009E148F">
        <w:rPr>
          <w:rFonts w:ascii="Times New Roman" w:eastAsiaTheme="minorHAnsi" w:hAnsi="Times New Roman"/>
          <w:b/>
          <w:snapToGrid/>
          <w:color w:val="auto"/>
          <w:sz w:val="24"/>
          <w:szCs w:val="24"/>
          <w:lang w:eastAsia="es-CO" w:bidi="ar-SA"/>
        </w:rPr>
        <w:t>LCOE for the reference scenario (US$/MWh).</w:t>
      </w:r>
      <w:proofErr w:type="gramEnd"/>
    </w:p>
    <w:tbl>
      <w:tblPr>
        <w:tblStyle w:val="Mdeck5tablebodythreelines"/>
        <w:tblW w:w="0" w:type="auto"/>
        <w:tblInd w:w="-217" w:type="dxa"/>
        <w:tblBorders>
          <w:top w:val="single" w:sz="8" w:space="0" w:color="auto"/>
          <w:left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10"/>
        <w:gridCol w:w="2409"/>
      </w:tblGrid>
      <w:tr w:rsidR="009E148F" w:rsidRPr="009E148F" w:rsidTr="00375BE8">
        <w:trPr>
          <w:cnfStyle w:val="100000000000" w:firstRow="1" w:lastRow="0" w:firstColumn="0" w:lastColumn="0" w:oddVBand="0" w:evenVBand="0" w:oddHBand="0" w:evenHBand="0" w:firstRowFirstColumn="0" w:firstRowLastColumn="0" w:lastRowFirstColumn="0" w:lastRowLastColumn="0"/>
        </w:trPr>
        <w:tc>
          <w:tcPr>
            <w:tcW w:w="28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E148F" w:rsidRPr="001D5B39" w:rsidRDefault="00375BE8" w:rsidP="00CB4445">
            <w:pPr>
              <w:pStyle w:val="MDPI33textspaceafter"/>
              <w:spacing w:after="0"/>
              <w:ind w:firstLine="0"/>
              <w:jc w:val="center"/>
              <w:rPr>
                <w:rFonts w:ascii="Times New Roman" w:eastAsiaTheme="minorHAnsi" w:hAnsi="Times New Roman"/>
                <w:color w:val="000000" w:themeColor="text1"/>
                <w:sz w:val="24"/>
                <w:szCs w:val="24"/>
                <w:lang w:eastAsia="es-CO" w:bidi="ar-SA"/>
              </w:rPr>
            </w:pPr>
            <w:r w:rsidRPr="001D5B39">
              <w:rPr>
                <w:rFonts w:ascii="Times New Roman" w:eastAsiaTheme="minorHAnsi" w:hAnsi="Times New Roman"/>
                <w:color w:val="000000" w:themeColor="text1"/>
                <w:sz w:val="24"/>
                <w:szCs w:val="24"/>
                <w:lang w:eastAsia="es-CO" w:bidi="ar-SA"/>
              </w:rPr>
              <w:t xml:space="preserve">Type of </w:t>
            </w:r>
            <w:r w:rsidR="001D5B39" w:rsidRPr="001D5B39">
              <w:rPr>
                <w:rFonts w:ascii="Times New Roman" w:eastAsiaTheme="minorHAnsi" w:hAnsi="Times New Roman"/>
                <w:color w:val="000000" w:themeColor="text1"/>
                <w:sz w:val="24"/>
                <w:szCs w:val="24"/>
                <w:lang w:eastAsia="es-CO" w:bidi="ar-SA"/>
              </w:rPr>
              <w:t>technology</w:t>
            </w:r>
          </w:p>
        </w:tc>
        <w:tc>
          <w:tcPr>
            <w:tcW w:w="24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E148F" w:rsidRPr="009E148F" w:rsidRDefault="009E148F" w:rsidP="00CB4445">
            <w:pPr>
              <w:pStyle w:val="MDPI33textspaceafter"/>
              <w:spacing w:after="0"/>
              <w:ind w:firstLine="0"/>
              <w:jc w:val="center"/>
              <w:rPr>
                <w:rFonts w:ascii="Times New Roman" w:eastAsiaTheme="minorHAnsi" w:hAnsi="Times New Roman"/>
                <w:color w:val="auto"/>
                <w:sz w:val="24"/>
                <w:szCs w:val="24"/>
                <w:lang w:eastAsia="es-CO" w:bidi="ar-SA"/>
              </w:rPr>
            </w:pPr>
            <w:r w:rsidRPr="009E148F">
              <w:rPr>
                <w:rFonts w:ascii="Times New Roman" w:eastAsiaTheme="minorHAnsi" w:hAnsi="Times New Roman"/>
                <w:color w:val="auto"/>
                <w:sz w:val="24"/>
                <w:szCs w:val="24"/>
                <w:lang w:eastAsia="es-CO" w:bidi="ar-SA"/>
              </w:rPr>
              <w:t>LCOE (US$/MWh)</w:t>
            </w:r>
          </w:p>
        </w:tc>
      </w:tr>
      <w:tr w:rsidR="009E148F" w:rsidRPr="009E148F" w:rsidTr="00375BE8">
        <w:tc>
          <w:tcPr>
            <w:tcW w:w="2810" w:type="dxa"/>
          </w:tcPr>
          <w:p w:rsidR="009E148F" w:rsidRPr="009E148F" w:rsidRDefault="009E148F" w:rsidP="00CB4445">
            <w:pPr>
              <w:pStyle w:val="MDPI33textspaceafter"/>
              <w:spacing w:after="0"/>
              <w:ind w:firstLine="0"/>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Biomass cogeneration</w:t>
            </w:r>
          </w:p>
        </w:tc>
        <w:tc>
          <w:tcPr>
            <w:tcW w:w="2409" w:type="dxa"/>
          </w:tcPr>
          <w:p w:rsidR="009E148F" w:rsidRPr="009E148F" w:rsidRDefault="009E148F" w:rsidP="00CB4445">
            <w:pPr>
              <w:pStyle w:val="MDPI33textspaceafter"/>
              <w:spacing w:after="0"/>
              <w:ind w:firstLine="0"/>
              <w:jc w:val="center"/>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47.90</w:t>
            </w:r>
          </w:p>
        </w:tc>
      </w:tr>
      <w:tr w:rsidR="009E148F" w:rsidRPr="009E148F" w:rsidTr="00375BE8">
        <w:tc>
          <w:tcPr>
            <w:tcW w:w="2810" w:type="dxa"/>
          </w:tcPr>
          <w:p w:rsidR="009E148F" w:rsidRPr="009E148F" w:rsidRDefault="009E148F" w:rsidP="00CB4445">
            <w:pPr>
              <w:pStyle w:val="MDPI33textspaceafter"/>
              <w:spacing w:after="0"/>
              <w:ind w:firstLine="0"/>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Small hydro power</w:t>
            </w:r>
          </w:p>
        </w:tc>
        <w:tc>
          <w:tcPr>
            <w:tcW w:w="2409" w:type="dxa"/>
          </w:tcPr>
          <w:p w:rsidR="009E148F" w:rsidRPr="009E148F" w:rsidRDefault="009E148F" w:rsidP="00CB4445">
            <w:pPr>
              <w:pStyle w:val="MDPI33textspaceafter"/>
              <w:spacing w:after="0"/>
              <w:ind w:firstLine="0"/>
              <w:jc w:val="center"/>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55.40</w:t>
            </w:r>
          </w:p>
        </w:tc>
      </w:tr>
      <w:tr w:rsidR="009E148F" w:rsidRPr="009E148F" w:rsidTr="00375BE8">
        <w:tc>
          <w:tcPr>
            <w:tcW w:w="2810" w:type="dxa"/>
          </w:tcPr>
          <w:p w:rsidR="009E148F" w:rsidRPr="009E148F" w:rsidRDefault="009E148F" w:rsidP="00CB4445">
            <w:pPr>
              <w:pStyle w:val="MDPI33textspaceafter"/>
              <w:spacing w:after="0"/>
              <w:ind w:firstLine="0"/>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Wind</w:t>
            </w:r>
          </w:p>
        </w:tc>
        <w:tc>
          <w:tcPr>
            <w:tcW w:w="2409" w:type="dxa"/>
          </w:tcPr>
          <w:p w:rsidR="009E148F" w:rsidRPr="009E148F" w:rsidRDefault="009E148F" w:rsidP="00CB4445">
            <w:pPr>
              <w:pStyle w:val="MDPI33textspaceafter"/>
              <w:spacing w:after="0"/>
              <w:ind w:firstLine="0"/>
              <w:jc w:val="center"/>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92.80</w:t>
            </w:r>
          </w:p>
        </w:tc>
      </w:tr>
      <w:tr w:rsidR="009E148F" w:rsidRPr="009E148F" w:rsidTr="00375BE8">
        <w:tc>
          <w:tcPr>
            <w:tcW w:w="2810" w:type="dxa"/>
          </w:tcPr>
          <w:p w:rsidR="009E148F" w:rsidRPr="009E148F" w:rsidRDefault="009E148F" w:rsidP="00CB4445">
            <w:pPr>
              <w:pStyle w:val="MDPI33textspaceafter"/>
              <w:spacing w:after="0"/>
              <w:ind w:firstLine="0"/>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PV</w:t>
            </w:r>
          </w:p>
        </w:tc>
        <w:tc>
          <w:tcPr>
            <w:tcW w:w="2409" w:type="dxa"/>
          </w:tcPr>
          <w:p w:rsidR="009E148F" w:rsidRPr="009E148F" w:rsidRDefault="009E148F" w:rsidP="00CB4445">
            <w:pPr>
              <w:pStyle w:val="MDPI33textspaceafter"/>
              <w:spacing w:after="0"/>
              <w:ind w:firstLine="0"/>
              <w:jc w:val="center"/>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203.63</w:t>
            </w:r>
          </w:p>
        </w:tc>
      </w:tr>
      <w:tr w:rsidR="009E148F" w:rsidRPr="009E148F" w:rsidTr="00375BE8">
        <w:tc>
          <w:tcPr>
            <w:tcW w:w="2810" w:type="dxa"/>
          </w:tcPr>
          <w:p w:rsidR="009E148F" w:rsidRPr="009E148F" w:rsidRDefault="009E148F" w:rsidP="00CB4445">
            <w:pPr>
              <w:pStyle w:val="MDPI33textspaceafter"/>
              <w:spacing w:after="0"/>
              <w:ind w:firstLine="0"/>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Forest biomass</w:t>
            </w:r>
          </w:p>
        </w:tc>
        <w:tc>
          <w:tcPr>
            <w:tcW w:w="2409" w:type="dxa"/>
          </w:tcPr>
          <w:p w:rsidR="009E148F" w:rsidRPr="009E148F" w:rsidRDefault="009E148F" w:rsidP="00CB4445">
            <w:pPr>
              <w:pStyle w:val="MDPI33textspaceafter"/>
              <w:spacing w:after="0"/>
              <w:ind w:firstLine="0"/>
              <w:jc w:val="center"/>
              <w:rPr>
                <w:rFonts w:ascii="Times New Roman" w:eastAsiaTheme="minorHAnsi" w:hAnsi="Times New Roman"/>
                <w:snapToGrid/>
                <w:color w:val="auto"/>
                <w:sz w:val="24"/>
                <w:szCs w:val="24"/>
                <w:lang w:eastAsia="es-CO" w:bidi="ar-SA"/>
              </w:rPr>
            </w:pPr>
            <w:r w:rsidRPr="009E148F">
              <w:rPr>
                <w:rFonts w:ascii="Times New Roman" w:eastAsiaTheme="minorHAnsi" w:hAnsi="Times New Roman"/>
                <w:snapToGrid/>
                <w:color w:val="auto"/>
                <w:sz w:val="24"/>
                <w:szCs w:val="24"/>
                <w:lang w:eastAsia="es-CO" w:bidi="ar-SA"/>
              </w:rPr>
              <w:t>97.01</w:t>
            </w:r>
          </w:p>
        </w:tc>
      </w:tr>
    </w:tbl>
    <w:p w:rsidR="009E148F" w:rsidRDefault="009E148F" w:rsidP="009E148F">
      <w:pPr>
        <w:spacing w:after="0" w:line="240" w:lineRule="auto"/>
        <w:jc w:val="center"/>
        <w:rPr>
          <w:rFonts w:ascii="Times New Roman" w:hAnsi="Times New Roman" w:cs="Times New Roman"/>
          <w:sz w:val="24"/>
          <w:szCs w:val="24"/>
        </w:rPr>
      </w:pPr>
    </w:p>
    <w:p w:rsidR="009E148F" w:rsidRDefault="009E148F" w:rsidP="009E148F">
      <w:pPr>
        <w:spacing w:after="0" w:line="240" w:lineRule="auto"/>
        <w:jc w:val="center"/>
        <w:rPr>
          <w:rFonts w:ascii="Times New Roman" w:hAnsi="Times New Roman" w:cs="Times New Roman"/>
          <w:sz w:val="24"/>
          <w:szCs w:val="24"/>
        </w:rPr>
      </w:pPr>
      <w:proofErr w:type="spellStart"/>
      <w:r w:rsidRPr="0061035D">
        <w:rPr>
          <w:rFonts w:ascii="Times New Roman" w:hAnsi="Times New Roman" w:cs="Times New Roman"/>
          <w:sz w:val="24"/>
          <w:szCs w:val="24"/>
        </w:rPr>
        <w:lastRenderedPageBreak/>
        <w:t>Source</w:t>
      </w:r>
      <w:proofErr w:type="spellEnd"/>
      <w:r w:rsidRPr="0061035D">
        <w:rPr>
          <w:rFonts w:ascii="Times New Roman" w:hAnsi="Times New Roman" w:cs="Times New Roman"/>
          <w:sz w:val="24"/>
          <w:szCs w:val="24"/>
        </w:rPr>
        <w:t xml:space="preserve">: </w:t>
      </w:r>
      <w:proofErr w:type="spellStart"/>
      <w:r>
        <w:rPr>
          <w:rFonts w:ascii="Times New Roman" w:hAnsi="Times New Roman" w:cs="Times New Roman"/>
          <w:sz w:val="24"/>
          <w:szCs w:val="24"/>
        </w:rPr>
        <w:t>Authors</w:t>
      </w:r>
      <w:proofErr w:type="spellEnd"/>
      <w:r w:rsidR="00CB4445">
        <w:rPr>
          <w:rFonts w:ascii="Times New Roman" w:hAnsi="Times New Roman" w:cs="Times New Roman"/>
          <w:sz w:val="24"/>
          <w:szCs w:val="24"/>
        </w:rPr>
        <w:t>’</w:t>
      </w:r>
      <w:r w:rsidR="00415719">
        <w:rPr>
          <w:rFonts w:ascii="Times New Roman" w:hAnsi="Times New Roman" w:cs="Times New Roman"/>
          <w:sz w:val="24"/>
          <w:szCs w:val="24"/>
        </w:rPr>
        <w:t xml:space="preserve"> </w:t>
      </w:r>
      <w:proofErr w:type="spellStart"/>
      <w:r w:rsidR="00415719">
        <w:rPr>
          <w:rFonts w:ascii="Times New Roman" w:hAnsi="Times New Roman" w:cs="Times New Roman"/>
          <w:sz w:val="24"/>
          <w:szCs w:val="24"/>
        </w:rPr>
        <w:t>own</w:t>
      </w:r>
      <w:proofErr w:type="spellEnd"/>
      <w:r w:rsidR="00415719">
        <w:rPr>
          <w:rFonts w:ascii="Times New Roman" w:hAnsi="Times New Roman" w:cs="Times New Roman"/>
          <w:sz w:val="24"/>
          <w:szCs w:val="24"/>
        </w:rPr>
        <w:t xml:space="preserve"> </w:t>
      </w:r>
      <w:proofErr w:type="spellStart"/>
      <w:r w:rsidR="00415719">
        <w:rPr>
          <w:rFonts w:ascii="Times New Roman" w:hAnsi="Times New Roman" w:cs="Times New Roman"/>
          <w:sz w:val="24"/>
          <w:szCs w:val="24"/>
        </w:rPr>
        <w:t>creation</w:t>
      </w:r>
      <w:proofErr w:type="spellEnd"/>
    </w:p>
    <w:p w:rsidR="009E148F" w:rsidRDefault="009E148F" w:rsidP="009E148F">
      <w:pPr>
        <w:spacing w:after="0" w:line="240" w:lineRule="auto"/>
        <w:jc w:val="center"/>
        <w:rPr>
          <w:rFonts w:ascii="Times New Roman" w:hAnsi="Times New Roman" w:cs="Times New Roman"/>
          <w:sz w:val="24"/>
          <w:szCs w:val="24"/>
        </w:rPr>
      </w:pPr>
    </w:p>
    <w:p w:rsidR="0061035D" w:rsidRPr="009E148F" w:rsidRDefault="009E148F" w:rsidP="0012272B">
      <w:pPr>
        <w:pStyle w:val="Prrafodelista"/>
        <w:numPr>
          <w:ilvl w:val="2"/>
          <w:numId w:val="7"/>
        </w:numPr>
        <w:spacing w:after="0" w:line="240" w:lineRule="auto"/>
        <w:jc w:val="both"/>
        <w:rPr>
          <w:rFonts w:ascii="Times New Roman" w:hAnsi="Times New Roman" w:cs="Times New Roman"/>
          <w:sz w:val="24"/>
          <w:szCs w:val="24"/>
          <w:lang w:val="en-US"/>
        </w:rPr>
      </w:pPr>
      <w:r w:rsidRPr="009E148F">
        <w:rPr>
          <w:rFonts w:ascii="Times New Roman" w:eastAsiaTheme="minorHAnsi" w:hAnsi="Times New Roman" w:cs="Times New Roman"/>
          <w:b/>
          <w:sz w:val="24"/>
          <w:szCs w:val="24"/>
          <w:lang w:val="en-US"/>
        </w:rPr>
        <w:t xml:space="preserve">LCOE with incentives </w:t>
      </w:r>
    </w:p>
    <w:p w:rsidR="009E148F" w:rsidRPr="00375BE8" w:rsidRDefault="009E148F" w:rsidP="00755A3A">
      <w:pPr>
        <w:pStyle w:val="MDPI33textspaceafter"/>
        <w:ind w:firstLine="0"/>
        <w:rPr>
          <w:rFonts w:ascii="Times New Roman" w:eastAsiaTheme="minorEastAsia" w:hAnsi="Times New Roman"/>
          <w:snapToGrid/>
          <w:color w:val="auto"/>
          <w:sz w:val="24"/>
          <w:szCs w:val="24"/>
          <w:lang w:eastAsia="es-CO" w:bidi="ar-SA"/>
        </w:rPr>
      </w:pPr>
      <w:r w:rsidRPr="00375BE8">
        <w:rPr>
          <w:rFonts w:ascii="Times New Roman" w:eastAsiaTheme="minorEastAsia" w:hAnsi="Times New Roman"/>
          <w:snapToGrid/>
          <w:color w:val="auto"/>
          <w:sz w:val="24"/>
          <w:szCs w:val="24"/>
          <w:lang w:eastAsia="es-CO" w:bidi="ar-SA"/>
        </w:rPr>
        <w:t>The tax adjusted LCOE is calculated incorporating the new renewable energy incentives approved in Colombia. Three scenarios for incentives are compared with the reference case: a) Scenario one for accelerated depreciation, b) Scenario two for tax credits, and c) Scenario three for combined accelerated depreciation and tax credits. Results are shown in Figure 1 where, up to 20% reduction in the LCOE is obtained for solar PV but only 12% reduction accounts for forest biomass.</w:t>
      </w:r>
    </w:p>
    <w:p w:rsidR="00755A3A" w:rsidRPr="00375BE8" w:rsidRDefault="00755A3A" w:rsidP="00755A3A">
      <w:pPr>
        <w:pStyle w:val="MDPI33textspaceafter"/>
        <w:ind w:firstLine="0"/>
        <w:jc w:val="center"/>
        <w:rPr>
          <w:rFonts w:ascii="Times New Roman" w:eastAsiaTheme="minorEastAsia" w:hAnsi="Times New Roman"/>
          <w:b/>
          <w:snapToGrid/>
          <w:color w:val="auto"/>
          <w:sz w:val="24"/>
          <w:szCs w:val="24"/>
          <w:lang w:eastAsia="es-CO" w:bidi="ar-SA"/>
        </w:rPr>
      </w:pPr>
      <w:proofErr w:type="gramStart"/>
      <w:r w:rsidRPr="00375BE8">
        <w:rPr>
          <w:rFonts w:ascii="Times New Roman" w:eastAsiaTheme="minorEastAsia" w:hAnsi="Times New Roman"/>
          <w:b/>
          <w:snapToGrid/>
          <w:color w:val="auto"/>
          <w:sz w:val="24"/>
          <w:szCs w:val="24"/>
          <w:lang w:eastAsia="es-CO" w:bidi="ar-SA"/>
        </w:rPr>
        <w:t>Figure 1.</w:t>
      </w:r>
      <w:proofErr w:type="gramEnd"/>
      <w:r w:rsidRPr="00375BE8">
        <w:rPr>
          <w:rFonts w:ascii="Times New Roman" w:eastAsiaTheme="minorEastAsia" w:hAnsi="Times New Roman"/>
          <w:b/>
          <w:snapToGrid/>
          <w:color w:val="auto"/>
          <w:sz w:val="24"/>
          <w:szCs w:val="24"/>
          <w:lang w:eastAsia="es-CO" w:bidi="ar-SA"/>
        </w:rPr>
        <w:t xml:space="preserve"> LCOE for three scenarios of incentives</w:t>
      </w:r>
    </w:p>
    <w:p w:rsidR="00755A3A" w:rsidRDefault="009E148F" w:rsidP="00755A3A">
      <w:pPr>
        <w:pStyle w:val="MDPI33textspaceafter"/>
        <w:ind w:firstLine="0"/>
        <w:jc w:val="center"/>
        <w:rPr>
          <w:rFonts w:ascii="Times New Roman" w:hAnsi="Times New Roman"/>
          <w:sz w:val="24"/>
          <w:szCs w:val="24"/>
        </w:rPr>
      </w:pPr>
      <w:r>
        <w:rPr>
          <w:noProof/>
          <w:lang w:val="es-ES" w:eastAsia="es-ES" w:bidi="ar-SA"/>
        </w:rPr>
        <w:drawing>
          <wp:inline distT="0" distB="0" distL="0" distR="0">
            <wp:extent cx="4781550" cy="27432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55A3A" w:rsidRDefault="00755A3A" w:rsidP="00755A3A">
      <w:pPr>
        <w:pStyle w:val="MDPI33textspaceafter"/>
        <w:ind w:firstLine="0"/>
        <w:jc w:val="center"/>
        <w:rPr>
          <w:rFonts w:ascii="Times New Roman" w:hAnsi="Times New Roman"/>
          <w:sz w:val="24"/>
          <w:szCs w:val="24"/>
        </w:rPr>
      </w:pPr>
      <w:r w:rsidRPr="00755A3A">
        <w:rPr>
          <w:rFonts w:ascii="Times New Roman" w:hAnsi="Times New Roman"/>
          <w:sz w:val="24"/>
          <w:szCs w:val="24"/>
        </w:rPr>
        <w:t>Source: Authors</w:t>
      </w:r>
      <w:r w:rsidR="00375BE8">
        <w:rPr>
          <w:rFonts w:ascii="Times New Roman" w:hAnsi="Times New Roman"/>
          <w:sz w:val="24"/>
          <w:szCs w:val="24"/>
        </w:rPr>
        <w:t>’</w:t>
      </w:r>
      <w:r w:rsidR="00415719">
        <w:rPr>
          <w:rFonts w:ascii="Times New Roman" w:hAnsi="Times New Roman"/>
          <w:sz w:val="24"/>
          <w:szCs w:val="24"/>
        </w:rPr>
        <w:t xml:space="preserve"> own creation</w:t>
      </w:r>
    </w:p>
    <w:p w:rsidR="00755A3A" w:rsidRPr="00755A3A" w:rsidRDefault="00755A3A" w:rsidP="00755A3A">
      <w:pPr>
        <w:spacing w:after="0" w:line="240" w:lineRule="auto"/>
        <w:jc w:val="center"/>
        <w:rPr>
          <w:rFonts w:ascii="Times New Roman" w:hAnsi="Times New Roman" w:cs="Times New Roman"/>
          <w:sz w:val="24"/>
          <w:szCs w:val="24"/>
          <w:lang w:val="en-US"/>
        </w:rPr>
      </w:pPr>
    </w:p>
    <w:p w:rsidR="00755A3A" w:rsidRDefault="00755A3A" w:rsidP="00755A3A">
      <w:pPr>
        <w:spacing w:after="0" w:line="240" w:lineRule="auto"/>
        <w:jc w:val="both"/>
        <w:rPr>
          <w:rFonts w:ascii="Times New Roman" w:hAnsi="Times New Roman" w:cs="Times New Roman"/>
          <w:sz w:val="24"/>
          <w:szCs w:val="24"/>
          <w:lang w:val="en-US"/>
        </w:rPr>
      </w:pPr>
      <w:r w:rsidRPr="00755A3A">
        <w:rPr>
          <w:rFonts w:ascii="Times New Roman" w:hAnsi="Times New Roman" w:cs="Times New Roman"/>
          <w:sz w:val="24"/>
          <w:szCs w:val="24"/>
          <w:lang w:val="en-US"/>
        </w:rPr>
        <w:t>It must be taken into account that the described restrictions in the renewable energy regulation in Colombia allows small business ventures to apply only for accelerated depreciation shown as scenario 1, then the reduction in the LCOE is only 4.5% for PV and 2.5% for forest biomass.</w:t>
      </w:r>
    </w:p>
    <w:p w:rsidR="00755A3A" w:rsidRDefault="00755A3A" w:rsidP="00755A3A">
      <w:pPr>
        <w:spacing w:after="0" w:line="240" w:lineRule="auto"/>
        <w:jc w:val="both"/>
        <w:rPr>
          <w:rFonts w:ascii="Times New Roman" w:hAnsi="Times New Roman" w:cs="Times New Roman"/>
          <w:sz w:val="24"/>
          <w:szCs w:val="24"/>
          <w:lang w:val="en-US"/>
        </w:rPr>
      </w:pPr>
    </w:p>
    <w:p w:rsidR="00755A3A" w:rsidRPr="00755A3A" w:rsidRDefault="00755A3A" w:rsidP="00755A3A">
      <w:pPr>
        <w:pStyle w:val="Prrafodelista"/>
        <w:numPr>
          <w:ilvl w:val="2"/>
          <w:numId w:val="14"/>
        </w:numPr>
        <w:spacing w:after="0" w:line="240" w:lineRule="auto"/>
        <w:jc w:val="both"/>
        <w:rPr>
          <w:rFonts w:ascii="Times New Roman" w:hAnsi="Times New Roman" w:cs="Times New Roman"/>
          <w:sz w:val="24"/>
          <w:szCs w:val="24"/>
          <w:lang w:val="en-US"/>
        </w:rPr>
      </w:pPr>
      <w:r>
        <w:rPr>
          <w:rFonts w:ascii="Times New Roman" w:eastAsiaTheme="minorHAnsi" w:hAnsi="Times New Roman" w:cs="Times New Roman"/>
          <w:b/>
          <w:sz w:val="24"/>
          <w:szCs w:val="24"/>
          <w:lang w:val="en-US"/>
        </w:rPr>
        <w:t>Complementary mechanisms</w:t>
      </w:r>
    </w:p>
    <w:p w:rsidR="00755A3A" w:rsidRPr="00755A3A" w:rsidRDefault="00755A3A" w:rsidP="00755A3A">
      <w:pPr>
        <w:spacing w:after="0" w:line="240" w:lineRule="auto"/>
        <w:jc w:val="both"/>
        <w:rPr>
          <w:rFonts w:ascii="Times New Roman" w:hAnsi="Times New Roman" w:cs="Times New Roman"/>
          <w:sz w:val="24"/>
          <w:szCs w:val="24"/>
          <w:lang w:val="en-US"/>
        </w:rPr>
      </w:pPr>
      <w:r w:rsidRPr="00755A3A">
        <w:rPr>
          <w:rFonts w:ascii="Times New Roman" w:hAnsi="Times New Roman" w:cs="Times New Roman"/>
          <w:sz w:val="24"/>
          <w:szCs w:val="24"/>
          <w:lang w:val="en-US"/>
        </w:rPr>
        <w:t>The previous results showed that up to 20% reduction in the LCOE can be obtained with the application of investment tax credits and accelerated depreciation methods. Nevertheless, small business ventures or new companies can only get a reduction between 2.5% and 4.5% of the LCOE, corresponding to scenario 1. For this case, two new mechanisms are proposed in order to get the investment tax credit incentives for these businesses. These mechanisms are: a) Granting five years as grace period for loan repayment, and b) Access to lower discount rate as subsidy from the government.</w:t>
      </w:r>
    </w:p>
    <w:p w:rsidR="00755A3A" w:rsidRPr="00755A3A" w:rsidRDefault="00755A3A" w:rsidP="00755A3A">
      <w:pPr>
        <w:spacing w:after="0" w:line="240" w:lineRule="auto"/>
        <w:jc w:val="both"/>
        <w:rPr>
          <w:rFonts w:ascii="Times New Roman" w:hAnsi="Times New Roman" w:cs="Times New Roman"/>
          <w:sz w:val="24"/>
          <w:szCs w:val="24"/>
          <w:lang w:val="en-US"/>
        </w:rPr>
      </w:pPr>
      <w:r w:rsidRPr="00755A3A">
        <w:rPr>
          <w:rFonts w:ascii="Times New Roman" w:hAnsi="Times New Roman" w:cs="Times New Roman"/>
          <w:sz w:val="24"/>
          <w:szCs w:val="24"/>
          <w:lang w:val="en-US"/>
        </w:rPr>
        <w:t xml:space="preserve">The proposed grace period due to the regulation allows deducting the initial investment only in the first five years of operation. Results for the LCOE under this condition are </w:t>
      </w:r>
      <w:r w:rsidRPr="00755A3A">
        <w:rPr>
          <w:rFonts w:ascii="Times New Roman" w:hAnsi="Times New Roman" w:cs="Times New Roman"/>
          <w:sz w:val="24"/>
          <w:szCs w:val="24"/>
          <w:lang w:val="en-US"/>
        </w:rPr>
        <w:lastRenderedPageBreak/>
        <w:t>shown as scenario 4 in Table 4 and Figure 2, where the reduction can be 8% for forest biomass and 14% for PV.</w:t>
      </w:r>
    </w:p>
    <w:p w:rsidR="00755A3A" w:rsidRDefault="00755A3A" w:rsidP="00755A3A">
      <w:pPr>
        <w:spacing w:after="0" w:line="240" w:lineRule="auto"/>
        <w:jc w:val="both"/>
        <w:rPr>
          <w:rFonts w:ascii="Times New Roman" w:hAnsi="Times New Roman" w:cs="Times New Roman"/>
          <w:sz w:val="24"/>
          <w:szCs w:val="24"/>
          <w:lang w:val="en-US"/>
        </w:rPr>
      </w:pPr>
      <w:r w:rsidRPr="00755A3A">
        <w:rPr>
          <w:rFonts w:ascii="Times New Roman" w:hAnsi="Times New Roman" w:cs="Times New Roman"/>
          <w:sz w:val="24"/>
          <w:szCs w:val="24"/>
          <w:lang w:val="en-US"/>
        </w:rPr>
        <w:t>These results are not attractive for new businesses, especially thinking in forest biomass projects with new job opportunities for rebel group soldiers that are signing the peace with the government. For this case, we are proposing a lower discount rate, incentive that has been proposed in India [23] and also Colombia has used it previously as a mechanism to promote the housing sector with very good results in employment creation. Following the example of the housing sector where the government subsidies between two and three percent of the cost of the debt, the LCOE values under the new discount rate are shown as scenario 5 in Figure 2.</w:t>
      </w:r>
    </w:p>
    <w:p w:rsidR="00755A3A" w:rsidRDefault="00755A3A" w:rsidP="00755A3A">
      <w:pPr>
        <w:spacing w:after="0" w:line="240" w:lineRule="auto"/>
        <w:jc w:val="both"/>
        <w:rPr>
          <w:rFonts w:ascii="Times New Roman" w:hAnsi="Times New Roman" w:cs="Times New Roman"/>
          <w:sz w:val="24"/>
          <w:szCs w:val="24"/>
          <w:lang w:val="en-US"/>
        </w:rPr>
      </w:pPr>
    </w:p>
    <w:p w:rsidR="00755A3A" w:rsidRDefault="00755A3A" w:rsidP="00755A3A">
      <w:pPr>
        <w:spacing w:after="0" w:line="240" w:lineRule="auto"/>
        <w:jc w:val="center"/>
        <w:rPr>
          <w:rFonts w:ascii="Times New Roman" w:hAnsi="Times New Roman" w:cs="Times New Roman"/>
          <w:b/>
          <w:sz w:val="24"/>
          <w:szCs w:val="24"/>
          <w:lang w:val="en-US"/>
        </w:rPr>
      </w:pPr>
      <w:proofErr w:type="gramStart"/>
      <w:r w:rsidRPr="00755A3A">
        <w:rPr>
          <w:rFonts w:ascii="Times New Roman" w:hAnsi="Times New Roman" w:cs="Times New Roman"/>
          <w:b/>
          <w:sz w:val="24"/>
          <w:szCs w:val="24"/>
          <w:lang w:val="en-US"/>
        </w:rPr>
        <w:t>Figure 2.</w:t>
      </w:r>
      <w:proofErr w:type="gramEnd"/>
      <w:r w:rsidRPr="00755A3A">
        <w:rPr>
          <w:rFonts w:ascii="Times New Roman" w:hAnsi="Times New Roman" w:cs="Times New Roman"/>
          <w:b/>
          <w:sz w:val="24"/>
          <w:szCs w:val="24"/>
          <w:lang w:val="en-US"/>
        </w:rPr>
        <w:t xml:space="preserve"> LCOE for additional scenarios of incentives</w:t>
      </w:r>
    </w:p>
    <w:p w:rsidR="00755A3A" w:rsidRPr="00755A3A" w:rsidRDefault="00755A3A" w:rsidP="00755A3A">
      <w:pPr>
        <w:spacing w:after="0" w:line="240" w:lineRule="auto"/>
        <w:jc w:val="center"/>
        <w:rPr>
          <w:rFonts w:ascii="Times New Roman" w:hAnsi="Times New Roman" w:cs="Times New Roman"/>
          <w:b/>
          <w:sz w:val="24"/>
          <w:szCs w:val="24"/>
          <w:lang w:val="en-US"/>
        </w:rPr>
      </w:pPr>
    </w:p>
    <w:p w:rsidR="00755A3A" w:rsidRPr="00755A3A" w:rsidRDefault="00755A3A" w:rsidP="00755A3A">
      <w:pPr>
        <w:spacing w:after="0" w:line="240" w:lineRule="auto"/>
        <w:jc w:val="center"/>
        <w:rPr>
          <w:rFonts w:ascii="Times New Roman" w:hAnsi="Times New Roman" w:cs="Times New Roman"/>
          <w:sz w:val="24"/>
          <w:szCs w:val="24"/>
          <w:lang w:val="en-US"/>
        </w:rPr>
      </w:pPr>
      <w:r w:rsidRPr="002F7F8F">
        <w:rPr>
          <w:noProof/>
          <w:lang w:val="es-ES" w:eastAsia="es-ES"/>
        </w:rPr>
        <w:drawing>
          <wp:inline distT="0" distB="0" distL="0" distR="0">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55A3A" w:rsidRDefault="00755A3A" w:rsidP="00755A3A">
      <w:pPr>
        <w:spacing w:after="0" w:line="240" w:lineRule="auto"/>
        <w:jc w:val="center"/>
        <w:rPr>
          <w:rFonts w:ascii="Times New Roman" w:hAnsi="Times New Roman" w:cs="Times New Roman"/>
          <w:sz w:val="24"/>
          <w:szCs w:val="24"/>
          <w:lang w:val="en-US"/>
        </w:rPr>
      </w:pPr>
    </w:p>
    <w:p w:rsidR="00755A3A" w:rsidRDefault="00755A3A" w:rsidP="00755A3A">
      <w:pPr>
        <w:spacing w:after="0" w:line="240" w:lineRule="auto"/>
        <w:jc w:val="center"/>
        <w:rPr>
          <w:rFonts w:ascii="Times New Roman" w:hAnsi="Times New Roman" w:cs="Times New Roman"/>
          <w:sz w:val="24"/>
          <w:szCs w:val="24"/>
          <w:lang w:val="en-US"/>
        </w:rPr>
      </w:pPr>
      <w:r w:rsidRPr="00755A3A">
        <w:rPr>
          <w:rFonts w:ascii="Times New Roman" w:hAnsi="Times New Roman" w:cs="Times New Roman"/>
          <w:sz w:val="24"/>
          <w:szCs w:val="24"/>
          <w:lang w:val="en-US"/>
        </w:rPr>
        <w:t>Source: Authors</w:t>
      </w:r>
      <w:r w:rsidR="00375BE8">
        <w:rPr>
          <w:rFonts w:ascii="Times New Roman" w:hAnsi="Times New Roman" w:cs="Times New Roman"/>
          <w:sz w:val="24"/>
          <w:szCs w:val="24"/>
          <w:lang w:val="en-US"/>
        </w:rPr>
        <w:t>’</w:t>
      </w:r>
      <w:r w:rsidR="0047242B">
        <w:rPr>
          <w:rFonts w:ascii="Times New Roman" w:hAnsi="Times New Roman" w:cs="Times New Roman"/>
          <w:sz w:val="24"/>
          <w:szCs w:val="24"/>
          <w:lang w:val="en-US"/>
        </w:rPr>
        <w:t xml:space="preserve"> own creation</w:t>
      </w:r>
    </w:p>
    <w:p w:rsidR="000D49F7" w:rsidRDefault="000D49F7" w:rsidP="00755A3A">
      <w:pPr>
        <w:spacing w:after="0" w:line="240" w:lineRule="auto"/>
        <w:jc w:val="center"/>
        <w:rPr>
          <w:rFonts w:ascii="Times New Roman" w:hAnsi="Times New Roman" w:cs="Times New Roman"/>
          <w:sz w:val="24"/>
          <w:szCs w:val="24"/>
          <w:lang w:val="en-US"/>
        </w:rPr>
      </w:pPr>
    </w:p>
    <w:p w:rsidR="000D49F7" w:rsidRPr="000D49F7" w:rsidRDefault="000D49F7" w:rsidP="000D49F7">
      <w:pPr>
        <w:spacing w:after="0" w:line="240" w:lineRule="auto"/>
        <w:jc w:val="both"/>
        <w:rPr>
          <w:rFonts w:ascii="Times New Roman" w:hAnsi="Times New Roman" w:cs="Times New Roman"/>
          <w:sz w:val="24"/>
          <w:szCs w:val="24"/>
          <w:lang w:val="en-US"/>
        </w:rPr>
      </w:pPr>
      <w:r w:rsidRPr="000D49F7">
        <w:rPr>
          <w:rFonts w:ascii="Times New Roman" w:hAnsi="Times New Roman" w:cs="Times New Roman"/>
          <w:sz w:val="24"/>
          <w:szCs w:val="24"/>
          <w:lang w:val="en-US"/>
        </w:rPr>
        <w:t>The new values shown in Figure 2, result in a LCOE that is 30% lower for PV and 15% lower for forest biomass. PV is not yet competitive but forest biomass price gets the grid parity in the isolated regions of Colombia. These country regions are the most appropriate to create new renewable energy business ventures with job opportunities to the rebel group soldiers that are signing the peace in Colombia.</w:t>
      </w:r>
    </w:p>
    <w:p w:rsidR="009E148F" w:rsidRPr="001D700C" w:rsidRDefault="009E148F" w:rsidP="009E148F">
      <w:pPr>
        <w:pStyle w:val="Prrafodelista"/>
        <w:spacing w:after="0" w:line="240" w:lineRule="auto"/>
        <w:jc w:val="both"/>
        <w:rPr>
          <w:rFonts w:ascii="Times New Roman" w:hAnsi="Times New Roman" w:cs="Times New Roman"/>
          <w:sz w:val="24"/>
          <w:szCs w:val="24"/>
          <w:lang w:val="en-US"/>
        </w:rPr>
      </w:pPr>
    </w:p>
    <w:p w:rsidR="00923C3F" w:rsidRPr="009E148F" w:rsidRDefault="00232A6C" w:rsidP="00AD47C6">
      <w:pPr>
        <w:pStyle w:val="Ttulo1"/>
        <w:numPr>
          <w:ilvl w:val="1"/>
          <w:numId w:val="1"/>
        </w:numPr>
        <w:spacing w:before="0" w:after="0" w:line="240" w:lineRule="auto"/>
        <w:ind w:left="426" w:hanging="426"/>
        <w:jc w:val="both"/>
        <w:rPr>
          <w:rFonts w:ascii="Times New Roman" w:hAnsi="Times New Roman" w:cs="Times New Roman"/>
          <w:sz w:val="24"/>
          <w:szCs w:val="24"/>
          <w:lang w:val="en-US"/>
        </w:rPr>
      </w:pPr>
      <w:r w:rsidRPr="009E148F">
        <w:rPr>
          <w:rFonts w:ascii="Times New Roman" w:hAnsi="Times New Roman" w:cs="Times New Roman"/>
          <w:sz w:val="24"/>
          <w:szCs w:val="24"/>
          <w:lang w:val="en-US"/>
        </w:rPr>
        <w:t>Conclusion</w:t>
      </w:r>
      <w:r w:rsidR="00923C3F" w:rsidRPr="009E148F">
        <w:rPr>
          <w:rFonts w:ascii="Times New Roman" w:hAnsi="Times New Roman" w:cs="Times New Roman"/>
          <w:sz w:val="24"/>
          <w:szCs w:val="24"/>
          <w:lang w:val="en-US"/>
        </w:rPr>
        <w:t>s</w:t>
      </w:r>
    </w:p>
    <w:p w:rsidR="000D49F7" w:rsidRPr="000D49F7" w:rsidRDefault="000D49F7" w:rsidP="000D49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D49F7">
        <w:rPr>
          <w:rFonts w:ascii="Times New Roman" w:hAnsi="Times New Roman" w:cs="Times New Roman"/>
          <w:sz w:val="24"/>
          <w:szCs w:val="24"/>
          <w:lang w:val="en-US"/>
        </w:rPr>
        <w:t>Colombia has huge potential of renewable energy resources that had no incentives to be developed in the past, having only a 19.5 MW wind power plant in operation. Fortunately, a new regulation approved a set of incentives to promote new renewable energy projects.</w:t>
      </w:r>
    </w:p>
    <w:p w:rsidR="000D49F7" w:rsidRPr="000D49F7" w:rsidRDefault="000D49F7" w:rsidP="000D49F7">
      <w:pPr>
        <w:spacing w:after="0" w:line="240" w:lineRule="auto"/>
        <w:jc w:val="both"/>
        <w:rPr>
          <w:rFonts w:ascii="Times New Roman" w:hAnsi="Times New Roman" w:cs="Times New Roman"/>
          <w:sz w:val="24"/>
          <w:szCs w:val="24"/>
          <w:lang w:val="en-US"/>
        </w:rPr>
      </w:pPr>
      <w:r w:rsidRPr="000D49F7">
        <w:rPr>
          <w:rFonts w:ascii="Times New Roman" w:hAnsi="Times New Roman" w:cs="Times New Roman"/>
          <w:sz w:val="24"/>
          <w:szCs w:val="24"/>
          <w:lang w:val="en-US"/>
        </w:rPr>
        <w:t>The deducted tax factor allows calculate directly the tax adjusted LCOE avoiding long cash flows calculations. Results show between 12% and 20% reduction in the LCOE for the incentives approved under the renewable energy Colombian regulation.</w:t>
      </w:r>
    </w:p>
    <w:p w:rsidR="000D49F7" w:rsidRPr="000D49F7" w:rsidRDefault="000D49F7" w:rsidP="000D49F7">
      <w:pPr>
        <w:spacing w:after="0" w:line="240" w:lineRule="auto"/>
        <w:jc w:val="both"/>
        <w:rPr>
          <w:rFonts w:ascii="Times New Roman" w:hAnsi="Times New Roman" w:cs="Times New Roman"/>
          <w:sz w:val="24"/>
          <w:szCs w:val="24"/>
          <w:lang w:val="en-US"/>
        </w:rPr>
      </w:pPr>
      <w:r w:rsidRPr="000D49F7">
        <w:rPr>
          <w:rFonts w:ascii="Times New Roman" w:hAnsi="Times New Roman" w:cs="Times New Roman"/>
          <w:sz w:val="24"/>
          <w:szCs w:val="24"/>
          <w:lang w:val="en-US"/>
        </w:rPr>
        <w:t xml:space="preserve">The approved incentives are not sufficient for all the renewable energy technologies and do not apply for small business ventures, then two additional mechanisms: grace period for </w:t>
      </w:r>
      <w:r w:rsidRPr="000D49F7">
        <w:rPr>
          <w:rFonts w:ascii="Times New Roman" w:hAnsi="Times New Roman" w:cs="Times New Roman"/>
          <w:sz w:val="24"/>
          <w:szCs w:val="24"/>
          <w:lang w:val="en-US"/>
        </w:rPr>
        <w:lastRenderedPageBreak/>
        <w:t>loan repayment and lower discount rate are proposed. These mechanisms can give more reductions, especially for those businesses that have restrictions to get access to the incentives existing today.</w:t>
      </w:r>
    </w:p>
    <w:p w:rsidR="000D49F7" w:rsidRDefault="000D49F7" w:rsidP="000D49F7">
      <w:pPr>
        <w:spacing w:after="0" w:line="240" w:lineRule="auto"/>
        <w:jc w:val="both"/>
        <w:rPr>
          <w:rFonts w:ascii="Times New Roman" w:hAnsi="Times New Roman" w:cs="Times New Roman"/>
          <w:sz w:val="24"/>
          <w:szCs w:val="24"/>
          <w:lang w:val="en-US"/>
        </w:rPr>
      </w:pPr>
      <w:r w:rsidRPr="000D49F7">
        <w:rPr>
          <w:rFonts w:ascii="Times New Roman" w:hAnsi="Times New Roman" w:cs="Times New Roman"/>
          <w:sz w:val="24"/>
          <w:szCs w:val="24"/>
          <w:lang w:val="en-US"/>
        </w:rPr>
        <w:t>The high potential of biomass resources in Colombia and the proposed mechanisms can get LCOE prices that are lower than the grid parity in most isolated regions. As a result, they can give impetus to the peace process allowing the creation of jobs for the new labor force coming from the rebel groups.</w:t>
      </w:r>
    </w:p>
    <w:p w:rsidR="000D49F7" w:rsidRPr="000D49F7" w:rsidRDefault="000D49F7" w:rsidP="000D49F7">
      <w:pPr>
        <w:spacing w:after="0" w:line="240" w:lineRule="auto"/>
        <w:jc w:val="both"/>
        <w:rPr>
          <w:rFonts w:ascii="Times New Roman" w:hAnsi="Times New Roman" w:cs="Times New Roman"/>
          <w:sz w:val="24"/>
          <w:szCs w:val="24"/>
          <w:lang w:val="en-US"/>
        </w:rPr>
      </w:pPr>
    </w:p>
    <w:p w:rsidR="00232A6C" w:rsidRPr="009E148F" w:rsidRDefault="00232A6C" w:rsidP="00AD47C6">
      <w:pPr>
        <w:pStyle w:val="Ttulo1"/>
        <w:spacing w:before="0" w:after="0" w:line="240" w:lineRule="auto"/>
        <w:jc w:val="both"/>
        <w:rPr>
          <w:rFonts w:ascii="Times New Roman" w:hAnsi="Times New Roman" w:cs="Times New Roman"/>
          <w:sz w:val="24"/>
          <w:szCs w:val="24"/>
          <w:lang w:val="en-US"/>
        </w:rPr>
      </w:pPr>
      <w:bookmarkStart w:id="3" w:name="_GoBack"/>
      <w:bookmarkEnd w:id="3"/>
    </w:p>
    <w:p w:rsidR="001B799D" w:rsidRPr="009E148F" w:rsidRDefault="00B979A0" w:rsidP="00AD47C6">
      <w:pPr>
        <w:pStyle w:val="Ttulo1"/>
        <w:spacing w:before="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Referenc</w:t>
      </w:r>
      <w:r w:rsidR="00232A6C" w:rsidRPr="009E148F">
        <w:rPr>
          <w:rFonts w:ascii="Times New Roman" w:hAnsi="Times New Roman" w:cs="Times New Roman"/>
          <w:sz w:val="24"/>
          <w:szCs w:val="24"/>
          <w:lang w:val="en-US"/>
        </w:rPr>
        <w:t>e</w:t>
      </w:r>
      <w:r w:rsidR="00923C3F" w:rsidRPr="009E148F">
        <w:rPr>
          <w:rFonts w:ascii="Times New Roman" w:hAnsi="Times New Roman" w:cs="Times New Roman"/>
          <w:sz w:val="24"/>
          <w:szCs w:val="24"/>
          <w:lang w:val="en-US"/>
        </w:rPr>
        <w:t>s</w:t>
      </w:r>
    </w:p>
    <w:p w:rsidR="00A2044C" w:rsidRPr="009E148F" w:rsidRDefault="00A2044C" w:rsidP="00AD47C6">
      <w:pPr>
        <w:spacing w:after="0" w:line="240" w:lineRule="auto"/>
        <w:jc w:val="both"/>
        <w:rPr>
          <w:rFonts w:ascii="Times New Roman" w:hAnsi="Times New Roman" w:cs="Times New Roman"/>
          <w:sz w:val="24"/>
          <w:szCs w:val="24"/>
          <w:lang w:val="en-US"/>
        </w:rPr>
      </w:pPr>
    </w:p>
    <w:p w:rsidR="00424973" w:rsidRDefault="00A1619C" w:rsidP="00AA2617">
      <w:pPr>
        <w:pStyle w:val="MDPI71References"/>
        <w:numPr>
          <w:ilvl w:val="0"/>
          <w:numId w:val="0"/>
        </w:numPr>
        <w:rPr>
          <w:rFonts w:ascii="Verdana" w:hAnsi="Verdana"/>
          <w:snapToGrid/>
          <w:color w:val="111111"/>
          <w:sz w:val="17"/>
          <w:szCs w:val="17"/>
          <w:lang w:eastAsia="es-CO" w:bidi="ar-SA"/>
        </w:rPr>
      </w:pPr>
      <w:r w:rsidRPr="00A1619C">
        <w:rPr>
          <w:rFonts w:ascii="Verdana" w:hAnsi="Verdana"/>
          <w:color w:val="111111"/>
          <w:sz w:val="17"/>
          <w:szCs w:val="17"/>
        </w:rPr>
        <w:t xml:space="preserve">[1] </w:t>
      </w:r>
      <w:r w:rsidR="00061407">
        <w:rPr>
          <w:rFonts w:ascii="Verdana" w:hAnsi="Verdana"/>
          <w:color w:val="111111"/>
          <w:sz w:val="17"/>
          <w:szCs w:val="17"/>
        </w:rPr>
        <w:t xml:space="preserve">P. </w:t>
      </w:r>
      <w:r w:rsidR="00061407">
        <w:rPr>
          <w:rFonts w:ascii="Verdana" w:hAnsi="Verdana"/>
          <w:snapToGrid/>
          <w:color w:val="111111"/>
          <w:sz w:val="17"/>
          <w:szCs w:val="17"/>
          <w:lang w:eastAsia="es-CO" w:bidi="ar-SA"/>
        </w:rPr>
        <w:t>Sun and</w:t>
      </w:r>
      <w:r w:rsidR="00424973" w:rsidRPr="00424973">
        <w:rPr>
          <w:rFonts w:ascii="Verdana" w:hAnsi="Verdana"/>
          <w:snapToGrid/>
          <w:color w:val="111111"/>
          <w:sz w:val="17"/>
          <w:szCs w:val="17"/>
          <w:lang w:eastAsia="es-CO" w:bidi="ar-SA"/>
        </w:rPr>
        <w:t xml:space="preserve"> </w:t>
      </w:r>
      <w:r w:rsidR="00061407">
        <w:rPr>
          <w:rFonts w:ascii="Verdana" w:hAnsi="Verdana"/>
          <w:snapToGrid/>
          <w:color w:val="111111"/>
          <w:sz w:val="17"/>
          <w:szCs w:val="17"/>
          <w:lang w:eastAsia="es-CO" w:bidi="ar-SA"/>
        </w:rPr>
        <w:t xml:space="preserve">P.Y. </w:t>
      </w:r>
      <w:proofErr w:type="spellStart"/>
      <w:r w:rsidR="00424973" w:rsidRPr="00424973">
        <w:rPr>
          <w:rFonts w:ascii="Verdana" w:hAnsi="Verdana"/>
          <w:snapToGrid/>
          <w:color w:val="111111"/>
          <w:sz w:val="17"/>
          <w:szCs w:val="17"/>
          <w:lang w:eastAsia="es-CO" w:bidi="ar-SA"/>
        </w:rPr>
        <w:t>Nie</w:t>
      </w:r>
      <w:proofErr w:type="spellEnd"/>
      <w:r w:rsidR="00424973" w:rsidRPr="00424973">
        <w:rPr>
          <w:rFonts w:ascii="Verdana" w:hAnsi="Verdana"/>
          <w:snapToGrid/>
          <w:color w:val="111111"/>
          <w:sz w:val="17"/>
          <w:szCs w:val="17"/>
          <w:lang w:eastAsia="es-CO" w:bidi="ar-SA"/>
        </w:rPr>
        <w:t xml:space="preserve"> “A comparative study of feed-in tariff and renewable energy portfolio standard in renewable energy industry,” in</w:t>
      </w:r>
      <w:r w:rsidR="00424973">
        <w:t xml:space="preserve"> </w:t>
      </w:r>
      <w:r w:rsidR="00424973" w:rsidRPr="00424973">
        <w:rPr>
          <w:rStyle w:val="nfasis"/>
          <w:rFonts w:ascii="Verdana" w:hAnsi="Verdana"/>
          <w:snapToGrid/>
          <w:color w:val="111111"/>
          <w:sz w:val="17"/>
          <w:szCs w:val="17"/>
          <w:lang w:eastAsia="es-CO" w:bidi="ar-SA"/>
        </w:rPr>
        <w:t>Renewable Energy</w:t>
      </w:r>
      <w:r w:rsidR="00424973">
        <w:rPr>
          <w:rStyle w:val="nfasis"/>
          <w:rFonts w:ascii="Verdana" w:hAnsi="Verdana"/>
          <w:snapToGrid/>
          <w:color w:val="111111"/>
          <w:sz w:val="17"/>
          <w:szCs w:val="17"/>
          <w:lang w:eastAsia="es-CO" w:bidi="ar-SA"/>
        </w:rPr>
        <w:t>,</w:t>
      </w:r>
      <w:r w:rsidR="00424973" w:rsidRPr="000154F4">
        <w:t xml:space="preserve"> </w:t>
      </w:r>
      <w:r w:rsidR="00424973">
        <w:t>Vol</w:t>
      </w:r>
      <w:r w:rsidR="00424973" w:rsidRPr="00424973">
        <w:rPr>
          <w:rFonts w:ascii="Verdana" w:hAnsi="Verdana"/>
          <w:snapToGrid/>
          <w:color w:val="111111"/>
          <w:sz w:val="17"/>
          <w:szCs w:val="17"/>
          <w:lang w:eastAsia="es-CO" w:bidi="ar-SA"/>
        </w:rPr>
        <w:t>. 74,</w:t>
      </w:r>
      <w:r w:rsidR="009D4040">
        <w:rPr>
          <w:rFonts w:ascii="Verdana" w:hAnsi="Verdana"/>
          <w:snapToGrid/>
          <w:color w:val="111111"/>
          <w:sz w:val="17"/>
          <w:szCs w:val="17"/>
          <w:lang w:eastAsia="es-CO" w:bidi="ar-SA"/>
        </w:rPr>
        <w:t xml:space="preserve"> 2015,</w:t>
      </w:r>
      <w:r w:rsidR="00424973" w:rsidRPr="00424973">
        <w:rPr>
          <w:rFonts w:ascii="Verdana" w:hAnsi="Verdana"/>
          <w:snapToGrid/>
          <w:color w:val="111111"/>
          <w:sz w:val="17"/>
          <w:szCs w:val="17"/>
          <w:lang w:eastAsia="es-CO" w:bidi="ar-SA"/>
        </w:rPr>
        <w:t xml:space="preserve"> </w:t>
      </w:r>
      <w:r w:rsidR="00424973">
        <w:rPr>
          <w:rFonts w:ascii="Verdana" w:hAnsi="Verdana"/>
          <w:snapToGrid/>
          <w:color w:val="111111"/>
          <w:sz w:val="17"/>
          <w:szCs w:val="17"/>
          <w:lang w:eastAsia="es-CO" w:bidi="ar-SA"/>
        </w:rPr>
        <w:t xml:space="preserve">pp. </w:t>
      </w:r>
      <w:r w:rsidR="00424973" w:rsidRPr="00424973">
        <w:rPr>
          <w:rFonts w:ascii="Verdana" w:hAnsi="Verdana"/>
          <w:snapToGrid/>
          <w:color w:val="111111"/>
          <w:sz w:val="17"/>
          <w:szCs w:val="17"/>
          <w:lang w:eastAsia="es-CO" w:bidi="ar-SA"/>
        </w:rPr>
        <w:t>255-262</w:t>
      </w:r>
      <w:r w:rsidR="009D4040">
        <w:rPr>
          <w:rFonts w:ascii="Verdana" w:hAnsi="Verdana"/>
          <w:snapToGrid/>
          <w:color w:val="111111"/>
          <w:sz w:val="17"/>
          <w:szCs w:val="17"/>
          <w:lang w:eastAsia="es-CO" w:bidi="ar-SA"/>
        </w:rPr>
        <w:t>.</w:t>
      </w:r>
    </w:p>
    <w:p w:rsidR="00424973" w:rsidRDefault="00424973" w:rsidP="00AA2617">
      <w:pPr>
        <w:pStyle w:val="MDPI71References"/>
        <w:numPr>
          <w:ilvl w:val="0"/>
          <w:numId w:val="0"/>
        </w:numPr>
      </w:pPr>
      <w:r>
        <w:rPr>
          <w:rFonts w:ascii="Verdana" w:hAnsi="Verdana"/>
          <w:snapToGrid/>
          <w:color w:val="111111"/>
          <w:sz w:val="17"/>
          <w:szCs w:val="17"/>
          <w:lang w:eastAsia="es-CO" w:bidi="ar-SA"/>
        </w:rPr>
        <w:t>[2]</w:t>
      </w:r>
      <w:r w:rsidR="009D4040" w:rsidRPr="009D4040">
        <w:t xml:space="preserve"> </w:t>
      </w:r>
      <w:r w:rsidR="00061407" w:rsidRPr="009D4040">
        <w:rPr>
          <w:rFonts w:ascii="Verdana" w:hAnsi="Verdana"/>
          <w:snapToGrid/>
          <w:color w:val="111111"/>
          <w:sz w:val="17"/>
          <w:szCs w:val="17"/>
          <w:lang w:eastAsia="es-CO" w:bidi="ar-SA"/>
        </w:rPr>
        <w:t>P.</w:t>
      </w:r>
      <w:r w:rsidR="00061407">
        <w:rPr>
          <w:rFonts w:ascii="Verdana" w:hAnsi="Verdana"/>
          <w:snapToGrid/>
          <w:color w:val="111111"/>
          <w:sz w:val="17"/>
          <w:szCs w:val="17"/>
          <w:lang w:eastAsia="es-CO" w:bidi="ar-SA"/>
        </w:rPr>
        <w:t xml:space="preserve"> </w:t>
      </w:r>
      <w:proofErr w:type="spellStart"/>
      <w:r w:rsidR="009D4040" w:rsidRPr="009D4040">
        <w:rPr>
          <w:rFonts w:ascii="Verdana" w:hAnsi="Verdana"/>
          <w:snapToGrid/>
          <w:color w:val="111111"/>
          <w:sz w:val="17"/>
          <w:szCs w:val="17"/>
          <w:lang w:eastAsia="es-CO" w:bidi="ar-SA"/>
        </w:rPr>
        <w:t>Menanteau</w:t>
      </w:r>
      <w:proofErr w:type="spellEnd"/>
      <w:r w:rsidR="00061407">
        <w:rPr>
          <w:rFonts w:ascii="Verdana" w:hAnsi="Verdana"/>
          <w:snapToGrid/>
          <w:color w:val="111111"/>
          <w:sz w:val="17"/>
          <w:szCs w:val="17"/>
          <w:lang w:eastAsia="es-CO" w:bidi="ar-SA"/>
        </w:rPr>
        <w:t>,</w:t>
      </w:r>
      <w:r w:rsidR="009D4040" w:rsidRPr="009D4040">
        <w:rPr>
          <w:rFonts w:ascii="Verdana" w:hAnsi="Verdana"/>
          <w:snapToGrid/>
          <w:color w:val="111111"/>
          <w:sz w:val="17"/>
          <w:szCs w:val="17"/>
          <w:lang w:eastAsia="es-CO" w:bidi="ar-SA"/>
        </w:rPr>
        <w:t xml:space="preserve"> </w:t>
      </w:r>
      <w:r w:rsidR="00061407" w:rsidRPr="009D4040">
        <w:rPr>
          <w:rFonts w:ascii="Verdana" w:hAnsi="Verdana"/>
          <w:snapToGrid/>
          <w:color w:val="111111"/>
          <w:sz w:val="17"/>
          <w:szCs w:val="17"/>
          <w:lang w:eastAsia="es-CO" w:bidi="ar-SA"/>
        </w:rPr>
        <w:t>D.</w:t>
      </w:r>
      <w:r w:rsidR="00061407">
        <w:rPr>
          <w:rFonts w:ascii="Verdana" w:hAnsi="Verdana"/>
          <w:snapToGrid/>
          <w:color w:val="111111"/>
          <w:sz w:val="17"/>
          <w:szCs w:val="17"/>
          <w:lang w:eastAsia="es-CO" w:bidi="ar-SA"/>
        </w:rPr>
        <w:t xml:space="preserve"> </w:t>
      </w:r>
      <w:proofErr w:type="spellStart"/>
      <w:r w:rsidR="009D4040" w:rsidRPr="009D4040">
        <w:rPr>
          <w:rFonts w:ascii="Verdana" w:hAnsi="Verdana"/>
          <w:snapToGrid/>
          <w:color w:val="111111"/>
          <w:sz w:val="17"/>
          <w:szCs w:val="17"/>
          <w:lang w:eastAsia="es-CO" w:bidi="ar-SA"/>
        </w:rPr>
        <w:t>Finon</w:t>
      </w:r>
      <w:proofErr w:type="spellEnd"/>
      <w:r w:rsidR="00061407">
        <w:rPr>
          <w:rFonts w:ascii="Verdana" w:hAnsi="Verdana"/>
          <w:snapToGrid/>
          <w:color w:val="111111"/>
          <w:sz w:val="17"/>
          <w:szCs w:val="17"/>
          <w:lang w:eastAsia="es-CO" w:bidi="ar-SA"/>
        </w:rPr>
        <w:t xml:space="preserve"> and</w:t>
      </w:r>
      <w:r w:rsidR="009D4040" w:rsidRPr="009D4040">
        <w:rPr>
          <w:rFonts w:ascii="Verdana" w:hAnsi="Verdana"/>
          <w:snapToGrid/>
          <w:color w:val="111111"/>
          <w:sz w:val="17"/>
          <w:szCs w:val="17"/>
          <w:lang w:eastAsia="es-CO" w:bidi="ar-SA"/>
        </w:rPr>
        <w:t xml:space="preserve"> </w:t>
      </w:r>
      <w:r w:rsidR="00061407" w:rsidRPr="009D4040">
        <w:rPr>
          <w:rFonts w:ascii="Verdana" w:hAnsi="Verdana"/>
          <w:snapToGrid/>
          <w:color w:val="111111"/>
          <w:sz w:val="17"/>
          <w:szCs w:val="17"/>
          <w:lang w:eastAsia="es-CO" w:bidi="ar-SA"/>
        </w:rPr>
        <w:t>M.L.</w:t>
      </w:r>
      <w:r w:rsidR="00061407" w:rsidRPr="00017634">
        <w:t xml:space="preserve"> </w:t>
      </w:r>
      <w:proofErr w:type="spellStart"/>
      <w:r w:rsidR="009D4040" w:rsidRPr="009D4040">
        <w:rPr>
          <w:rFonts w:ascii="Verdana" w:hAnsi="Verdana"/>
          <w:snapToGrid/>
          <w:color w:val="111111"/>
          <w:sz w:val="17"/>
          <w:szCs w:val="17"/>
          <w:lang w:eastAsia="es-CO" w:bidi="ar-SA"/>
        </w:rPr>
        <w:t>Lamie</w:t>
      </w:r>
      <w:proofErr w:type="spellEnd"/>
      <w:r w:rsidR="009D4040" w:rsidRPr="009D4040">
        <w:rPr>
          <w:rFonts w:ascii="Verdana" w:hAnsi="Verdana"/>
          <w:snapToGrid/>
          <w:color w:val="111111"/>
          <w:sz w:val="17"/>
          <w:szCs w:val="17"/>
          <w:lang w:eastAsia="es-CO" w:bidi="ar-SA"/>
        </w:rPr>
        <w:t xml:space="preserve"> “Prices versus quantities: choosing policies for promoting the development of renewable energy</w:t>
      </w:r>
      <w:r w:rsidR="009D4040">
        <w:rPr>
          <w:rFonts w:ascii="Verdana" w:hAnsi="Verdana"/>
          <w:snapToGrid/>
          <w:color w:val="111111"/>
          <w:sz w:val="17"/>
          <w:szCs w:val="17"/>
          <w:lang w:eastAsia="es-CO" w:bidi="ar-SA"/>
        </w:rPr>
        <w:t>,</w:t>
      </w:r>
      <w:r w:rsidR="009D4040" w:rsidRPr="009D4040">
        <w:rPr>
          <w:rFonts w:ascii="Verdana" w:hAnsi="Verdana"/>
          <w:snapToGrid/>
          <w:color w:val="111111"/>
          <w:sz w:val="17"/>
          <w:szCs w:val="17"/>
          <w:lang w:eastAsia="es-CO" w:bidi="ar-SA"/>
        </w:rPr>
        <w:t>”</w:t>
      </w:r>
      <w:r w:rsidR="009D4040">
        <w:rPr>
          <w:rFonts w:ascii="Verdana" w:hAnsi="Verdana"/>
          <w:snapToGrid/>
          <w:color w:val="111111"/>
          <w:sz w:val="17"/>
          <w:szCs w:val="17"/>
          <w:lang w:eastAsia="es-CO" w:bidi="ar-SA"/>
        </w:rPr>
        <w:t xml:space="preserve"> in </w:t>
      </w:r>
      <w:r w:rsidR="009D4040" w:rsidRPr="009D4040">
        <w:rPr>
          <w:rStyle w:val="nfasis"/>
          <w:rFonts w:ascii="Verdana" w:hAnsi="Verdana"/>
          <w:snapToGrid/>
          <w:color w:val="111111"/>
          <w:sz w:val="17"/>
          <w:szCs w:val="17"/>
          <w:lang w:eastAsia="es-CO" w:bidi="ar-SA"/>
        </w:rPr>
        <w:t>Energy Policy</w:t>
      </w:r>
      <w:r w:rsidR="009D4040">
        <w:rPr>
          <w:rStyle w:val="nfasis"/>
          <w:rFonts w:ascii="Verdana" w:hAnsi="Verdana"/>
          <w:snapToGrid/>
          <w:color w:val="111111"/>
          <w:sz w:val="17"/>
          <w:szCs w:val="17"/>
          <w:lang w:eastAsia="es-CO" w:bidi="ar-SA"/>
        </w:rPr>
        <w:t xml:space="preserve">, </w:t>
      </w:r>
      <w:r w:rsidR="009D4040" w:rsidRPr="009D4040">
        <w:rPr>
          <w:rFonts w:ascii="Verdana" w:hAnsi="Verdana"/>
          <w:snapToGrid/>
          <w:color w:val="111111"/>
          <w:sz w:val="17"/>
          <w:szCs w:val="17"/>
          <w:lang w:eastAsia="es-CO" w:bidi="ar-SA"/>
        </w:rPr>
        <w:t>Vol. 32,</w:t>
      </w:r>
      <w:r w:rsidR="009D4040" w:rsidRPr="009D4040">
        <w:rPr>
          <w:i/>
          <w:iCs/>
        </w:rPr>
        <w:t xml:space="preserve"> </w:t>
      </w:r>
      <w:r w:rsidR="009D4040" w:rsidRPr="009D4040">
        <w:rPr>
          <w:rFonts w:ascii="Verdana" w:hAnsi="Verdana"/>
          <w:snapToGrid/>
          <w:color w:val="111111"/>
          <w:sz w:val="17"/>
          <w:szCs w:val="17"/>
          <w:lang w:eastAsia="es-CO" w:bidi="ar-SA"/>
        </w:rPr>
        <w:t>2003, pp. 799-812.</w:t>
      </w:r>
    </w:p>
    <w:p w:rsidR="009D4040" w:rsidRDefault="009D4040" w:rsidP="009D4040">
      <w:pPr>
        <w:pStyle w:val="MDPI71References"/>
        <w:numPr>
          <w:ilvl w:val="0"/>
          <w:numId w:val="0"/>
        </w:numPr>
        <w:rPr>
          <w:rFonts w:ascii="Verdana" w:hAnsi="Verdana"/>
          <w:snapToGrid/>
          <w:color w:val="111111"/>
          <w:sz w:val="17"/>
          <w:szCs w:val="17"/>
          <w:lang w:eastAsia="es-CO" w:bidi="ar-SA"/>
        </w:rPr>
      </w:pPr>
      <w:r>
        <w:t>[</w:t>
      </w:r>
      <w:r w:rsidRPr="009D4040">
        <w:rPr>
          <w:rFonts w:ascii="Verdana" w:hAnsi="Verdana"/>
          <w:snapToGrid/>
          <w:color w:val="111111"/>
          <w:sz w:val="17"/>
          <w:szCs w:val="17"/>
          <w:lang w:eastAsia="es-CO" w:bidi="ar-SA"/>
        </w:rPr>
        <w:t xml:space="preserve">3] </w:t>
      </w:r>
      <w:r w:rsidR="00061407" w:rsidRPr="009D4040">
        <w:rPr>
          <w:rFonts w:ascii="Verdana" w:hAnsi="Verdana"/>
          <w:snapToGrid/>
          <w:color w:val="111111"/>
          <w:sz w:val="17"/>
          <w:szCs w:val="17"/>
          <w:lang w:eastAsia="es-CO" w:bidi="ar-SA"/>
        </w:rPr>
        <w:t>D.</w:t>
      </w:r>
      <w:r w:rsidR="00061407">
        <w:rPr>
          <w:rFonts w:ascii="Verdana" w:hAnsi="Verdana"/>
          <w:snapToGrid/>
          <w:color w:val="111111"/>
          <w:sz w:val="17"/>
          <w:szCs w:val="17"/>
          <w:lang w:eastAsia="es-CO" w:bidi="ar-SA"/>
        </w:rPr>
        <w:t xml:space="preserve"> </w:t>
      </w:r>
      <w:r w:rsidRPr="009D4040">
        <w:rPr>
          <w:rFonts w:ascii="Verdana" w:hAnsi="Verdana"/>
          <w:snapToGrid/>
          <w:color w:val="111111"/>
          <w:sz w:val="17"/>
          <w:szCs w:val="17"/>
          <w:lang w:eastAsia="es-CO" w:bidi="ar-SA"/>
        </w:rPr>
        <w:t>Jacobs</w:t>
      </w:r>
      <w:r w:rsidR="00061407">
        <w:rPr>
          <w:rFonts w:ascii="Verdana" w:hAnsi="Verdana"/>
          <w:snapToGrid/>
          <w:color w:val="111111"/>
          <w:sz w:val="17"/>
          <w:szCs w:val="17"/>
          <w:lang w:eastAsia="es-CO" w:bidi="ar-SA"/>
        </w:rPr>
        <w:t>,</w:t>
      </w:r>
      <w:r w:rsidRPr="009D4040">
        <w:rPr>
          <w:rFonts w:ascii="Verdana" w:hAnsi="Verdana"/>
          <w:snapToGrid/>
          <w:color w:val="111111"/>
          <w:sz w:val="17"/>
          <w:szCs w:val="17"/>
          <w:lang w:eastAsia="es-CO" w:bidi="ar-SA"/>
        </w:rPr>
        <w:t xml:space="preserve"> </w:t>
      </w:r>
      <w:r w:rsidR="00061407">
        <w:rPr>
          <w:rFonts w:ascii="Verdana" w:hAnsi="Verdana"/>
          <w:snapToGrid/>
          <w:color w:val="111111"/>
          <w:sz w:val="17"/>
          <w:szCs w:val="17"/>
          <w:lang w:eastAsia="es-CO" w:bidi="ar-SA"/>
        </w:rPr>
        <w:t xml:space="preserve">N. </w:t>
      </w:r>
      <w:proofErr w:type="spellStart"/>
      <w:r w:rsidRPr="009D4040">
        <w:rPr>
          <w:rFonts w:ascii="Verdana" w:hAnsi="Verdana"/>
          <w:snapToGrid/>
          <w:color w:val="111111"/>
          <w:sz w:val="17"/>
          <w:szCs w:val="17"/>
          <w:lang w:eastAsia="es-CO" w:bidi="ar-SA"/>
        </w:rPr>
        <w:t>Marzolf</w:t>
      </w:r>
      <w:proofErr w:type="spellEnd"/>
      <w:r w:rsidR="00061407">
        <w:rPr>
          <w:rFonts w:ascii="Verdana" w:hAnsi="Verdana"/>
          <w:snapToGrid/>
          <w:color w:val="111111"/>
          <w:sz w:val="17"/>
          <w:szCs w:val="17"/>
          <w:lang w:eastAsia="es-CO" w:bidi="ar-SA"/>
        </w:rPr>
        <w:t xml:space="preserve"> </w:t>
      </w:r>
      <w:r w:rsidRPr="009D4040">
        <w:rPr>
          <w:rFonts w:ascii="Verdana" w:hAnsi="Verdana"/>
          <w:snapToGrid/>
          <w:color w:val="111111"/>
          <w:sz w:val="17"/>
          <w:szCs w:val="17"/>
          <w:lang w:eastAsia="es-CO" w:bidi="ar-SA"/>
        </w:rPr>
        <w:t>N.</w:t>
      </w:r>
      <w:r w:rsidR="00061407">
        <w:rPr>
          <w:rFonts w:ascii="Verdana" w:hAnsi="Verdana"/>
          <w:snapToGrid/>
          <w:color w:val="111111"/>
          <w:sz w:val="17"/>
          <w:szCs w:val="17"/>
          <w:lang w:eastAsia="es-CO" w:bidi="ar-SA"/>
        </w:rPr>
        <w:t>, J.R.</w:t>
      </w:r>
      <w:r w:rsidRPr="009D4040">
        <w:rPr>
          <w:rFonts w:ascii="Verdana" w:hAnsi="Verdana"/>
          <w:snapToGrid/>
          <w:color w:val="111111"/>
          <w:sz w:val="17"/>
          <w:szCs w:val="17"/>
          <w:lang w:eastAsia="es-CO" w:bidi="ar-SA"/>
        </w:rPr>
        <w:t xml:space="preserve"> Paredes</w:t>
      </w:r>
      <w:r w:rsidR="00061407">
        <w:rPr>
          <w:rFonts w:ascii="Verdana" w:hAnsi="Verdana"/>
          <w:snapToGrid/>
          <w:color w:val="111111"/>
          <w:sz w:val="17"/>
          <w:szCs w:val="17"/>
          <w:lang w:eastAsia="es-CO" w:bidi="ar-SA"/>
        </w:rPr>
        <w:t>,</w:t>
      </w:r>
      <w:r w:rsidRPr="009D4040">
        <w:rPr>
          <w:rFonts w:ascii="Verdana" w:hAnsi="Verdana"/>
          <w:snapToGrid/>
          <w:color w:val="111111"/>
          <w:sz w:val="17"/>
          <w:szCs w:val="17"/>
          <w:lang w:eastAsia="es-CO" w:bidi="ar-SA"/>
        </w:rPr>
        <w:t xml:space="preserve"> </w:t>
      </w:r>
      <w:r w:rsidR="00061407">
        <w:rPr>
          <w:rFonts w:ascii="Verdana" w:hAnsi="Verdana"/>
          <w:snapToGrid/>
          <w:color w:val="111111"/>
          <w:sz w:val="17"/>
          <w:szCs w:val="17"/>
          <w:lang w:eastAsia="es-CO" w:bidi="ar-SA"/>
        </w:rPr>
        <w:t xml:space="preserve">W. </w:t>
      </w:r>
      <w:proofErr w:type="spellStart"/>
      <w:r w:rsidRPr="009D4040">
        <w:rPr>
          <w:rFonts w:ascii="Verdana" w:hAnsi="Verdana"/>
          <w:snapToGrid/>
          <w:color w:val="111111"/>
          <w:sz w:val="17"/>
          <w:szCs w:val="17"/>
          <w:lang w:eastAsia="es-CO" w:bidi="ar-SA"/>
        </w:rPr>
        <w:t>Rickerson</w:t>
      </w:r>
      <w:proofErr w:type="spellEnd"/>
      <w:r w:rsidR="00061407">
        <w:rPr>
          <w:rFonts w:ascii="Verdana" w:hAnsi="Verdana"/>
          <w:snapToGrid/>
          <w:color w:val="111111"/>
          <w:sz w:val="17"/>
          <w:szCs w:val="17"/>
          <w:lang w:eastAsia="es-CO" w:bidi="ar-SA"/>
        </w:rPr>
        <w:t>,</w:t>
      </w:r>
      <w:r w:rsidRPr="009D4040">
        <w:rPr>
          <w:rFonts w:ascii="Verdana" w:hAnsi="Verdana"/>
          <w:snapToGrid/>
          <w:color w:val="111111"/>
          <w:sz w:val="17"/>
          <w:szCs w:val="17"/>
          <w:lang w:eastAsia="es-CO" w:bidi="ar-SA"/>
        </w:rPr>
        <w:t xml:space="preserve"> </w:t>
      </w:r>
      <w:r w:rsidR="00061407">
        <w:rPr>
          <w:rFonts w:ascii="Verdana" w:hAnsi="Verdana"/>
          <w:snapToGrid/>
          <w:color w:val="111111"/>
          <w:sz w:val="17"/>
          <w:szCs w:val="17"/>
          <w:lang w:eastAsia="es-CO" w:bidi="ar-SA"/>
        </w:rPr>
        <w:t xml:space="preserve">H. </w:t>
      </w:r>
      <w:r w:rsidRPr="009D4040">
        <w:rPr>
          <w:rFonts w:ascii="Verdana" w:hAnsi="Verdana"/>
          <w:snapToGrid/>
          <w:color w:val="111111"/>
          <w:sz w:val="17"/>
          <w:szCs w:val="17"/>
          <w:lang w:eastAsia="es-CO" w:bidi="ar-SA"/>
        </w:rPr>
        <w:t>Flynn</w:t>
      </w:r>
      <w:r w:rsidR="00061407">
        <w:rPr>
          <w:rFonts w:ascii="Verdana" w:hAnsi="Verdana"/>
          <w:snapToGrid/>
          <w:color w:val="111111"/>
          <w:sz w:val="17"/>
          <w:szCs w:val="17"/>
          <w:lang w:eastAsia="es-CO" w:bidi="ar-SA"/>
        </w:rPr>
        <w:t xml:space="preserve">, C. </w:t>
      </w:r>
      <w:r w:rsidRPr="009D4040">
        <w:rPr>
          <w:rFonts w:ascii="Verdana" w:hAnsi="Verdana"/>
          <w:snapToGrid/>
          <w:color w:val="111111"/>
          <w:sz w:val="17"/>
          <w:szCs w:val="17"/>
          <w:lang w:eastAsia="es-CO" w:bidi="ar-SA"/>
        </w:rPr>
        <w:t>Becker-</w:t>
      </w:r>
      <w:proofErr w:type="spellStart"/>
      <w:r w:rsidRPr="009D4040">
        <w:rPr>
          <w:rFonts w:ascii="Verdana" w:hAnsi="Verdana"/>
          <w:snapToGrid/>
          <w:color w:val="111111"/>
          <w:sz w:val="17"/>
          <w:szCs w:val="17"/>
          <w:lang w:eastAsia="es-CO" w:bidi="ar-SA"/>
        </w:rPr>
        <w:t>Birck</w:t>
      </w:r>
      <w:proofErr w:type="spellEnd"/>
      <w:r w:rsidRPr="009D4040">
        <w:rPr>
          <w:rFonts w:ascii="Verdana" w:hAnsi="Verdana"/>
          <w:snapToGrid/>
          <w:color w:val="111111"/>
          <w:sz w:val="17"/>
          <w:szCs w:val="17"/>
          <w:lang w:eastAsia="es-CO" w:bidi="ar-SA"/>
        </w:rPr>
        <w:t xml:space="preserve">, </w:t>
      </w:r>
      <w:r w:rsidR="00061407">
        <w:rPr>
          <w:rFonts w:ascii="Verdana" w:hAnsi="Verdana"/>
          <w:snapToGrid/>
          <w:color w:val="111111"/>
          <w:sz w:val="17"/>
          <w:szCs w:val="17"/>
          <w:lang w:eastAsia="es-CO" w:bidi="ar-SA"/>
        </w:rPr>
        <w:t xml:space="preserve">and M. Solano-Peralta, </w:t>
      </w:r>
      <w:r w:rsidRPr="009D4040">
        <w:rPr>
          <w:rFonts w:ascii="Verdana" w:hAnsi="Verdana"/>
          <w:snapToGrid/>
          <w:color w:val="111111"/>
          <w:sz w:val="17"/>
          <w:szCs w:val="17"/>
          <w:lang w:eastAsia="es-CO" w:bidi="ar-SA"/>
        </w:rPr>
        <w:t>“Analysis of renewable energy incentives in the Latin America and Caribbean region: The feed-in tariff case,”</w:t>
      </w:r>
      <w:r>
        <w:rPr>
          <w:rFonts w:ascii="Verdana" w:hAnsi="Verdana"/>
          <w:snapToGrid/>
          <w:color w:val="111111"/>
          <w:sz w:val="17"/>
          <w:szCs w:val="17"/>
          <w:lang w:eastAsia="es-CO" w:bidi="ar-SA"/>
        </w:rPr>
        <w:t xml:space="preserve"> in</w:t>
      </w:r>
      <w:r w:rsidRPr="00AA2617">
        <w:rPr>
          <w:rFonts w:ascii="Verdana" w:hAnsi="Verdana"/>
          <w:snapToGrid/>
          <w:color w:val="111111"/>
          <w:sz w:val="17"/>
          <w:szCs w:val="17"/>
          <w:lang w:eastAsia="es-CO" w:bidi="ar-SA"/>
        </w:rPr>
        <w:t xml:space="preserve"> </w:t>
      </w:r>
      <w:r w:rsidRPr="00AA2617">
        <w:rPr>
          <w:rFonts w:ascii="Verdana" w:hAnsi="Verdana"/>
          <w:i/>
          <w:snapToGrid/>
          <w:color w:val="111111"/>
          <w:sz w:val="17"/>
          <w:szCs w:val="17"/>
          <w:lang w:eastAsia="es-CO" w:bidi="ar-SA"/>
        </w:rPr>
        <w:t>Energy Policy</w:t>
      </w:r>
      <w:r w:rsidRPr="00AA2617">
        <w:rPr>
          <w:rFonts w:ascii="Verdana" w:hAnsi="Verdana"/>
          <w:snapToGrid/>
          <w:color w:val="111111"/>
          <w:sz w:val="17"/>
          <w:szCs w:val="17"/>
          <w:lang w:eastAsia="es-CO" w:bidi="ar-SA"/>
        </w:rPr>
        <w:t>, Vol.60, 2013,</w:t>
      </w:r>
      <w:r w:rsidR="00AA2617">
        <w:rPr>
          <w:rFonts w:ascii="Verdana" w:hAnsi="Verdana"/>
          <w:snapToGrid/>
          <w:color w:val="111111"/>
          <w:sz w:val="17"/>
          <w:szCs w:val="17"/>
          <w:lang w:eastAsia="es-CO" w:bidi="ar-SA"/>
        </w:rPr>
        <w:t xml:space="preserve"> </w:t>
      </w:r>
      <w:r w:rsidRPr="00AA2617">
        <w:rPr>
          <w:rFonts w:ascii="Verdana" w:hAnsi="Verdana"/>
          <w:snapToGrid/>
          <w:color w:val="111111"/>
          <w:sz w:val="17"/>
          <w:szCs w:val="17"/>
          <w:lang w:eastAsia="es-CO" w:bidi="ar-SA"/>
        </w:rPr>
        <w:t>pp. 601-610</w:t>
      </w:r>
      <w:r w:rsidR="00AA2617">
        <w:rPr>
          <w:rFonts w:ascii="Verdana" w:hAnsi="Verdana"/>
          <w:snapToGrid/>
          <w:color w:val="111111"/>
          <w:sz w:val="17"/>
          <w:szCs w:val="17"/>
          <w:lang w:eastAsia="es-CO" w:bidi="ar-SA"/>
        </w:rPr>
        <w:t>.</w:t>
      </w:r>
    </w:p>
    <w:p w:rsidR="009D4040" w:rsidRDefault="00AA2617" w:rsidP="00AA2617">
      <w:pPr>
        <w:pStyle w:val="MDPI71References"/>
        <w:numPr>
          <w:ilvl w:val="0"/>
          <w:numId w:val="0"/>
        </w:numPr>
        <w:rPr>
          <w:rFonts w:ascii="Verdana" w:hAnsi="Verdana"/>
          <w:snapToGrid/>
          <w:color w:val="111111"/>
          <w:sz w:val="17"/>
          <w:szCs w:val="17"/>
          <w:lang w:eastAsia="es-CO" w:bidi="ar-SA"/>
        </w:rPr>
      </w:pPr>
      <w:r>
        <w:t>[4]</w:t>
      </w:r>
      <w:r w:rsidR="00922FE5">
        <w:t xml:space="preserve"> S. </w:t>
      </w:r>
      <w:proofErr w:type="spellStart"/>
      <w:r w:rsidR="00922FE5">
        <w:rPr>
          <w:rFonts w:ascii="Verdana" w:hAnsi="Verdana"/>
          <w:snapToGrid/>
          <w:color w:val="111111"/>
          <w:sz w:val="17"/>
          <w:szCs w:val="17"/>
          <w:lang w:eastAsia="es-CO" w:bidi="ar-SA"/>
        </w:rPr>
        <w:t>Reichelstein</w:t>
      </w:r>
      <w:proofErr w:type="spellEnd"/>
      <w:r w:rsidR="00922FE5">
        <w:rPr>
          <w:rFonts w:ascii="Verdana" w:hAnsi="Verdana"/>
          <w:snapToGrid/>
          <w:color w:val="111111"/>
          <w:sz w:val="17"/>
          <w:szCs w:val="17"/>
          <w:lang w:eastAsia="es-CO" w:bidi="ar-SA"/>
        </w:rPr>
        <w:t xml:space="preserve"> and M. </w:t>
      </w:r>
      <w:proofErr w:type="spellStart"/>
      <w:r w:rsidRPr="00AA2617">
        <w:rPr>
          <w:rFonts w:ascii="Verdana" w:hAnsi="Verdana"/>
          <w:snapToGrid/>
          <w:color w:val="111111"/>
          <w:sz w:val="17"/>
          <w:szCs w:val="17"/>
          <w:lang w:eastAsia="es-CO" w:bidi="ar-SA"/>
        </w:rPr>
        <w:t>Yorston</w:t>
      </w:r>
      <w:proofErr w:type="spellEnd"/>
      <w:r w:rsidRPr="00AA2617">
        <w:rPr>
          <w:rFonts w:ascii="Verdana" w:hAnsi="Verdana"/>
          <w:snapToGrid/>
          <w:color w:val="111111"/>
          <w:sz w:val="17"/>
          <w:szCs w:val="17"/>
          <w:lang w:eastAsia="es-CO" w:bidi="ar-SA"/>
        </w:rPr>
        <w:t xml:space="preserve">, </w:t>
      </w:r>
      <w:r>
        <w:rPr>
          <w:rFonts w:ascii="Verdana" w:hAnsi="Verdana"/>
          <w:snapToGrid/>
          <w:color w:val="111111"/>
          <w:sz w:val="17"/>
          <w:szCs w:val="17"/>
          <w:lang w:eastAsia="es-CO" w:bidi="ar-SA"/>
        </w:rPr>
        <w:t>“</w:t>
      </w:r>
      <w:r w:rsidRPr="00AA2617">
        <w:rPr>
          <w:rFonts w:ascii="Verdana" w:hAnsi="Verdana"/>
          <w:snapToGrid/>
          <w:color w:val="111111"/>
          <w:sz w:val="17"/>
          <w:szCs w:val="17"/>
          <w:lang w:eastAsia="es-CO" w:bidi="ar-SA"/>
        </w:rPr>
        <w:t>The prospects for cost competitive solar PV power</w:t>
      </w:r>
      <w:r>
        <w:rPr>
          <w:rFonts w:ascii="Verdana" w:hAnsi="Verdana"/>
          <w:snapToGrid/>
          <w:color w:val="111111"/>
          <w:sz w:val="17"/>
          <w:szCs w:val="17"/>
          <w:lang w:eastAsia="es-CO" w:bidi="ar-SA"/>
        </w:rPr>
        <w:t>,” in</w:t>
      </w:r>
      <w:r w:rsidRPr="00AA2617">
        <w:rPr>
          <w:rFonts w:ascii="Verdana" w:hAnsi="Verdana"/>
          <w:snapToGrid/>
          <w:color w:val="111111"/>
          <w:sz w:val="17"/>
          <w:szCs w:val="17"/>
          <w:lang w:eastAsia="es-CO" w:bidi="ar-SA"/>
        </w:rPr>
        <w:t xml:space="preserve"> </w:t>
      </w:r>
      <w:r w:rsidRPr="00AA2617">
        <w:rPr>
          <w:rFonts w:ascii="Verdana" w:hAnsi="Verdana"/>
          <w:i/>
          <w:snapToGrid/>
          <w:color w:val="111111"/>
          <w:sz w:val="17"/>
          <w:szCs w:val="17"/>
          <w:lang w:eastAsia="es-CO" w:bidi="ar-SA"/>
        </w:rPr>
        <w:t>Energy Policy</w:t>
      </w:r>
      <w:r>
        <w:rPr>
          <w:rFonts w:ascii="Verdana" w:hAnsi="Verdana"/>
          <w:snapToGrid/>
          <w:color w:val="111111"/>
          <w:sz w:val="17"/>
          <w:szCs w:val="17"/>
          <w:lang w:eastAsia="es-CO" w:bidi="ar-SA"/>
        </w:rPr>
        <w:t xml:space="preserve">, Vol. 55, </w:t>
      </w:r>
      <w:r w:rsidRPr="00AA2617">
        <w:rPr>
          <w:rFonts w:ascii="Verdana" w:hAnsi="Verdana"/>
          <w:snapToGrid/>
          <w:color w:val="111111"/>
          <w:sz w:val="17"/>
          <w:szCs w:val="17"/>
          <w:lang w:eastAsia="es-CO" w:bidi="ar-SA"/>
        </w:rPr>
        <w:t xml:space="preserve">2013, </w:t>
      </w:r>
      <w:r>
        <w:rPr>
          <w:rFonts w:ascii="Verdana" w:hAnsi="Verdana"/>
          <w:snapToGrid/>
          <w:color w:val="111111"/>
          <w:sz w:val="17"/>
          <w:szCs w:val="17"/>
          <w:lang w:eastAsia="es-CO" w:bidi="ar-SA"/>
        </w:rPr>
        <w:t>pp.</w:t>
      </w:r>
      <w:r w:rsidRPr="00AA2617">
        <w:rPr>
          <w:rFonts w:ascii="Verdana" w:hAnsi="Verdana"/>
          <w:snapToGrid/>
          <w:color w:val="111111"/>
          <w:sz w:val="17"/>
          <w:szCs w:val="17"/>
          <w:lang w:eastAsia="es-CO" w:bidi="ar-SA"/>
        </w:rPr>
        <w:t xml:space="preserve"> 117-127</w:t>
      </w:r>
      <w:r>
        <w:rPr>
          <w:rFonts w:ascii="Verdana" w:hAnsi="Verdana"/>
          <w:snapToGrid/>
          <w:color w:val="111111"/>
          <w:sz w:val="17"/>
          <w:szCs w:val="17"/>
          <w:lang w:eastAsia="es-CO" w:bidi="ar-SA"/>
        </w:rPr>
        <w:t>.</w:t>
      </w:r>
    </w:p>
    <w:p w:rsidR="00AA2617" w:rsidRDefault="00AA2617" w:rsidP="00AA2617">
      <w:pPr>
        <w:pStyle w:val="MDPI71References"/>
        <w:numPr>
          <w:ilvl w:val="0"/>
          <w:numId w:val="0"/>
        </w:numPr>
        <w:rPr>
          <w:rFonts w:ascii="Verdana" w:hAnsi="Verdana"/>
          <w:snapToGrid/>
          <w:color w:val="111111"/>
          <w:sz w:val="17"/>
          <w:szCs w:val="17"/>
          <w:lang w:eastAsia="es-CO" w:bidi="ar-SA"/>
        </w:rPr>
      </w:pPr>
      <w:r>
        <w:rPr>
          <w:rFonts w:ascii="Verdana" w:hAnsi="Verdana"/>
          <w:snapToGrid/>
          <w:color w:val="111111"/>
          <w:sz w:val="17"/>
          <w:szCs w:val="17"/>
          <w:lang w:eastAsia="es-CO" w:bidi="ar-SA"/>
        </w:rPr>
        <w:t xml:space="preserve">[5] </w:t>
      </w:r>
      <w:r w:rsidR="00922FE5">
        <w:rPr>
          <w:rFonts w:ascii="Verdana" w:hAnsi="Verdana"/>
          <w:snapToGrid/>
          <w:color w:val="111111"/>
          <w:sz w:val="17"/>
          <w:szCs w:val="17"/>
          <w:lang w:eastAsia="es-CO" w:bidi="ar-SA"/>
        </w:rPr>
        <w:t xml:space="preserve">J. </w:t>
      </w:r>
      <w:proofErr w:type="spellStart"/>
      <w:r w:rsidRPr="00AA2617">
        <w:rPr>
          <w:rFonts w:ascii="Verdana" w:hAnsi="Verdana"/>
          <w:snapToGrid/>
          <w:color w:val="111111"/>
          <w:sz w:val="17"/>
          <w:szCs w:val="17"/>
          <w:lang w:eastAsia="es-CO" w:bidi="ar-SA"/>
        </w:rPr>
        <w:t>Ondraczek</w:t>
      </w:r>
      <w:proofErr w:type="spellEnd"/>
      <w:r w:rsidR="00922FE5">
        <w:rPr>
          <w:rFonts w:ascii="Verdana" w:hAnsi="Verdana"/>
          <w:snapToGrid/>
          <w:color w:val="111111"/>
          <w:sz w:val="17"/>
          <w:szCs w:val="17"/>
          <w:lang w:eastAsia="es-CO" w:bidi="ar-SA"/>
        </w:rPr>
        <w:t xml:space="preserve">, N. </w:t>
      </w:r>
      <w:proofErr w:type="spellStart"/>
      <w:r w:rsidRPr="00AA2617">
        <w:rPr>
          <w:rFonts w:ascii="Verdana" w:hAnsi="Verdana"/>
          <w:snapToGrid/>
          <w:color w:val="111111"/>
          <w:sz w:val="17"/>
          <w:szCs w:val="17"/>
          <w:lang w:eastAsia="es-CO" w:bidi="ar-SA"/>
        </w:rPr>
        <w:t>Komendantova</w:t>
      </w:r>
      <w:proofErr w:type="spellEnd"/>
      <w:r w:rsidR="00922FE5">
        <w:rPr>
          <w:rFonts w:ascii="Verdana" w:hAnsi="Verdana"/>
          <w:snapToGrid/>
          <w:color w:val="111111"/>
          <w:sz w:val="17"/>
          <w:szCs w:val="17"/>
          <w:lang w:eastAsia="es-CO" w:bidi="ar-SA"/>
        </w:rPr>
        <w:t xml:space="preserve"> and A.</w:t>
      </w:r>
      <w:r w:rsidRPr="00AA2617">
        <w:rPr>
          <w:rFonts w:ascii="Verdana" w:hAnsi="Verdana"/>
          <w:snapToGrid/>
          <w:color w:val="111111"/>
          <w:sz w:val="17"/>
          <w:szCs w:val="17"/>
          <w:lang w:eastAsia="es-CO" w:bidi="ar-SA"/>
        </w:rPr>
        <w:t xml:space="preserve"> </w:t>
      </w:r>
      <w:proofErr w:type="spellStart"/>
      <w:r w:rsidRPr="00AA2617">
        <w:rPr>
          <w:rFonts w:ascii="Verdana" w:hAnsi="Verdana"/>
          <w:snapToGrid/>
          <w:color w:val="111111"/>
          <w:sz w:val="17"/>
          <w:szCs w:val="17"/>
          <w:lang w:eastAsia="es-CO" w:bidi="ar-SA"/>
        </w:rPr>
        <w:t>Patt</w:t>
      </w:r>
      <w:proofErr w:type="spellEnd"/>
      <w:r w:rsidRPr="00AA2617">
        <w:rPr>
          <w:rFonts w:ascii="Verdana" w:hAnsi="Verdana"/>
          <w:snapToGrid/>
          <w:color w:val="111111"/>
          <w:sz w:val="17"/>
          <w:szCs w:val="17"/>
          <w:lang w:eastAsia="es-CO" w:bidi="ar-SA"/>
        </w:rPr>
        <w:t xml:space="preserve"> </w:t>
      </w:r>
      <w:r>
        <w:rPr>
          <w:rFonts w:ascii="Verdana" w:hAnsi="Verdana"/>
          <w:snapToGrid/>
          <w:color w:val="111111"/>
          <w:sz w:val="17"/>
          <w:szCs w:val="17"/>
          <w:lang w:eastAsia="es-CO" w:bidi="ar-SA"/>
        </w:rPr>
        <w:t>“</w:t>
      </w:r>
      <w:r w:rsidRPr="00AA2617">
        <w:rPr>
          <w:rFonts w:ascii="Verdana" w:hAnsi="Verdana"/>
          <w:snapToGrid/>
          <w:color w:val="111111"/>
          <w:sz w:val="17"/>
          <w:szCs w:val="17"/>
          <w:lang w:eastAsia="es-CO" w:bidi="ar-SA"/>
        </w:rPr>
        <w:t xml:space="preserve">WACC the dog: The effect of financing costs on the </w:t>
      </w:r>
      <w:proofErr w:type="spellStart"/>
      <w:r w:rsidRPr="00AA2617">
        <w:rPr>
          <w:rFonts w:ascii="Verdana" w:hAnsi="Verdana"/>
          <w:snapToGrid/>
          <w:color w:val="111111"/>
          <w:sz w:val="17"/>
          <w:szCs w:val="17"/>
          <w:lang w:eastAsia="es-CO" w:bidi="ar-SA"/>
        </w:rPr>
        <w:t>levelized</w:t>
      </w:r>
      <w:proofErr w:type="spellEnd"/>
      <w:r w:rsidRPr="00AA2617">
        <w:rPr>
          <w:rFonts w:ascii="Verdana" w:hAnsi="Verdana"/>
          <w:snapToGrid/>
          <w:color w:val="111111"/>
          <w:sz w:val="17"/>
          <w:szCs w:val="17"/>
          <w:lang w:eastAsia="es-CO" w:bidi="ar-SA"/>
        </w:rPr>
        <w:t xml:space="preserve"> cost of solar PV power</w:t>
      </w:r>
      <w:r>
        <w:rPr>
          <w:rFonts w:ascii="Verdana" w:hAnsi="Verdana"/>
          <w:snapToGrid/>
          <w:color w:val="111111"/>
          <w:sz w:val="17"/>
          <w:szCs w:val="17"/>
          <w:lang w:eastAsia="es-CO" w:bidi="ar-SA"/>
        </w:rPr>
        <w:t>,” in</w:t>
      </w:r>
      <w:r w:rsidRPr="00AA2617">
        <w:rPr>
          <w:rFonts w:ascii="Verdana" w:hAnsi="Verdana"/>
          <w:snapToGrid/>
          <w:color w:val="111111"/>
          <w:sz w:val="17"/>
          <w:szCs w:val="17"/>
          <w:lang w:eastAsia="es-CO" w:bidi="ar-SA"/>
        </w:rPr>
        <w:t xml:space="preserve"> </w:t>
      </w:r>
      <w:r w:rsidRPr="00AA2617">
        <w:rPr>
          <w:rFonts w:ascii="Verdana" w:hAnsi="Verdana"/>
          <w:i/>
          <w:snapToGrid/>
          <w:color w:val="111111"/>
          <w:sz w:val="17"/>
          <w:szCs w:val="17"/>
          <w:lang w:eastAsia="es-CO" w:bidi="ar-SA"/>
        </w:rPr>
        <w:t>Renewable Energy</w:t>
      </w:r>
      <w:r>
        <w:rPr>
          <w:rFonts w:ascii="Verdana" w:hAnsi="Verdana"/>
          <w:snapToGrid/>
          <w:color w:val="111111"/>
          <w:sz w:val="17"/>
          <w:szCs w:val="17"/>
          <w:lang w:eastAsia="es-CO" w:bidi="ar-SA"/>
        </w:rPr>
        <w:t xml:space="preserve">, Vol.75, </w:t>
      </w:r>
      <w:r w:rsidRPr="00AA2617">
        <w:rPr>
          <w:rFonts w:ascii="Verdana" w:hAnsi="Verdana"/>
          <w:snapToGrid/>
          <w:color w:val="111111"/>
          <w:sz w:val="17"/>
          <w:szCs w:val="17"/>
          <w:lang w:eastAsia="es-CO" w:bidi="ar-SA"/>
        </w:rPr>
        <w:t xml:space="preserve">2015, </w:t>
      </w:r>
      <w:r>
        <w:rPr>
          <w:rFonts w:ascii="Verdana" w:hAnsi="Verdana"/>
          <w:snapToGrid/>
          <w:color w:val="111111"/>
          <w:sz w:val="17"/>
          <w:szCs w:val="17"/>
          <w:lang w:eastAsia="es-CO" w:bidi="ar-SA"/>
        </w:rPr>
        <w:t>pp.</w:t>
      </w:r>
      <w:r w:rsidRPr="00AA2617">
        <w:rPr>
          <w:rFonts w:ascii="Verdana" w:hAnsi="Verdana"/>
          <w:snapToGrid/>
          <w:color w:val="111111"/>
          <w:sz w:val="17"/>
          <w:szCs w:val="17"/>
          <w:lang w:eastAsia="es-CO" w:bidi="ar-SA"/>
        </w:rPr>
        <w:t xml:space="preserve"> 888-898</w:t>
      </w:r>
      <w:r>
        <w:rPr>
          <w:rFonts w:ascii="Verdana" w:hAnsi="Verdana"/>
          <w:snapToGrid/>
          <w:color w:val="111111"/>
          <w:sz w:val="17"/>
          <w:szCs w:val="17"/>
          <w:lang w:eastAsia="es-CO" w:bidi="ar-SA"/>
        </w:rPr>
        <w:t>.</w:t>
      </w:r>
    </w:p>
    <w:p w:rsidR="00AA2617" w:rsidRDefault="00AA2617" w:rsidP="00AA2617">
      <w:pPr>
        <w:pStyle w:val="MDPI71References"/>
        <w:numPr>
          <w:ilvl w:val="0"/>
          <w:numId w:val="0"/>
        </w:numPr>
        <w:rPr>
          <w:rFonts w:ascii="Verdana" w:hAnsi="Verdana"/>
          <w:snapToGrid/>
          <w:color w:val="111111"/>
          <w:sz w:val="17"/>
          <w:szCs w:val="17"/>
          <w:lang w:eastAsia="es-CO" w:bidi="ar-SA"/>
        </w:rPr>
      </w:pPr>
      <w:r w:rsidRPr="00AA2617">
        <w:rPr>
          <w:rFonts w:ascii="Verdana" w:hAnsi="Verdana"/>
          <w:snapToGrid/>
          <w:color w:val="111111"/>
          <w:sz w:val="17"/>
          <w:szCs w:val="17"/>
          <w:lang w:eastAsia="es-CO" w:bidi="ar-SA"/>
        </w:rPr>
        <w:t>[6]</w:t>
      </w:r>
      <w:r w:rsidR="00922FE5">
        <w:rPr>
          <w:rFonts w:ascii="Verdana" w:hAnsi="Verdana"/>
          <w:snapToGrid/>
          <w:color w:val="111111"/>
          <w:sz w:val="17"/>
          <w:szCs w:val="17"/>
          <w:lang w:eastAsia="es-CO" w:bidi="ar-SA"/>
        </w:rPr>
        <w:t xml:space="preserve"> F. </w:t>
      </w:r>
      <w:proofErr w:type="spellStart"/>
      <w:r w:rsidR="00922FE5">
        <w:rPr>
          <w:rFonts w:ascii="Verdana" w:hAnsi="Verdana"/>
          <w:snapToGrid/>
          <w:color w:val="111111"/>
          <w:sz w:val="17"/>
          <w:szCs w:val="17"/>
          <w:lang w:eastAsia="es-CO" w:bidi="ar-SA"/>
        </w:rPr>
        <w:t>Gulli</w:t>
      </w:r>
      <w:proofErr w:type="spellEnd"/>
      <w:r w:rsidR="00922FE5">
        <w:rPr>
          <w:rFonts w:ascii="Verdana" w:hAnsi="Verdana"/>
          <w:snapToGrid/>
          <w:color w:val="111111"/>
          <w:sz w:val="17"/>
          <w:szCs w:val="17"/>
          <w:lang w:eastAsia="es-CO" w:bidi="ar-SA"/>
        </w:rPr>
        <w:t xml:space="preserve"> and A.</w:t>
      </w:r>
      <w:r w:rsidRPr="00AA2617">
        <w:rPr>
          <w:rFonts w:ascii="Verdana" w:hAnsi="Verdana"/>
          <w:snapToGrid/>
          <w:color w:val="111111"/>
          <w:sz w:val="17"/>
          <w:szCs w:val="17"/>
          <w:lang w:eastAsia="es-CO" w:bidi="ar-SA"/>
        </w:rPr>
        <w:t xml:space="preserve"> Lo Balbo </w:t>
      </w:r>
      <w:r>
        <w:rPr>
          <w:rFonts w:ascii="Verdana" w:hAnsi="Verdana"/>
          <w:snapToGrid/>
          <w:color w:val="111111"/>
          <w:sz w:val="17"/>
          <w:szCs w:val="17"/>
          <w:lang w:eastAsia="es-CO" w:bidi="ar-SA"/>
        </w:rPr>
        <w:t>“</w:t>
      </w:r>
      <w:r w:rsidRPr="00AA2617">
        <w:rPr>
          <w:rFonts w:ascii="Verdana" w:hAnsi="Verdana"/>
          <w:snapToGrid/>
          <w:color w:val="111111"/>
          <w:sz w:val="17"/>
          <w:szCs w:val="17"/>
          <w:lang w:eastAsia="es-CO" w:bidi="ar-SA"/>
        </w:rPr>
        <w:t>The impact of intermittently renewable energy on Italian wholesale electricity prices: Addition</w:t>
      </w:r>
      <w:r>
        <w:rPr>
          <w:rFonts w:ascii="Verdana" w:hAnsi="Verdana"/>
          <w:snapToGrid/>
          <w:color w:val="111111"/>
          <w:sz w:val="17"/>
          <w:szCs w:val="17"/>
          <w:lang w:eastAsia="es-CO" w:bidi="ar-SA"/>
        </w:rPr>
        <w:t>al benefits or additional costs</w:t>
      </w:r>
      <w:proofErr w:type="gramStart"/>
      <w:r>
        <w:rPr>
          <w:rFonts w:ascii="Verdana" w:hAnsi="Verdana"/>
          <w:snapToGrid/>
          <w:color w:val="111111"/>
          <w:sz w:val="17"/>
          <w:szCs w:val="17"/>
          <w:lang w:eastAsia="es-CO" w:bidi="ar-SA"/>
        </w:rPr>
        <w:t>?,</w:t>
      </w:r>
      <w:proofErr w:type="gramEnd"/>
      <w:r>
        <w:rPr>
          <w:rFonts w:ascii="Verdana" w:hAnsi="Verdana"/>
          <w:snapToGrid/>
          <w:color w:val="111111"/>
          <w:sz w:val="17"/>
          <w:szCs w:val="17"/>
          <w:lang w:eastAsia="es-CO" w:bidi="ar-SA"/>
        </w:rPr>
        <w:t>” in</w:t>
      </w:r>
      <w:r w:rsidRPr="00AA2617">
        <w:rPr>
          <w:rFonts w:ascii="Verdana" w:hAnsi="Verdana"/>
          <w:i/>
          <w:snapToGrid/>
          <w:color w:val="111111"/>
          <w:sz w:val="17"/>
          <w:szCs w:val="17"/>
          <w:lang w:eastAsia="es-CO" w:bidi="ar-SA"/>
        </w:rPr>
        <w:t xml:space="preserve"> Energy Policy</w:t>
      </w:r>
      <w:r>
        <w:rPr>
          <w:rFonts w:ascii="Verdana" w:hAnsi="Verdana"/>
          <w:i/>
          <w:snapToGrid/>
          <w:color w:val="111111"/>
          <w:sz w:val="17"/>
          <w:szCs w:val="17"/>
          <w:lang w:eastAsia="es-CO" w:bidi="ar-SA"/>
        </w:rPr>
        <w:t xml:space="preserve">, </w:t>
      </w:r>
      <w:r w:rsidRPr="00AA2617">
        <w:rPr>
          <w:rFonts w:ascii="Verdana" w:hAnsi="Verdana"/>
          <w:snapToGrid/>
          <w:color w:val="111111"/>
          <w:sz w:val="17"/>
          <w:szCs w:val="17"/>
          <w:lang w:eastAsia="es-CO" w:bidi="ar-SA"/>
        </w:rPr>
        <w:t xml:space="preserve">Vol.83, 2015, </w:t>
      </w:r>
      <w:r>
        <w:rPr>
          <w:rFonts w:ascii="Verdana" w:hAnsi="Verdana"/>
          <w:snapToGrid/>
          <w:color w:val="111111"/>
          <w:sz w:val="17"/>
          <w:szCs w:val="17"/>
          <w:lang w:eastAsia="es-CO" w:bidi="ar-SA"/>
        </w:rPr>
        <w:t>pp.</w:t>
      </w:r>
      <w:r w:rsidRPr="00AA2617">
        <w:rPr>
          <w:rFonts w:ascii="Verdana" w:hAnsi="Verdana"/>
          <w:snapToGrid/>
          <w:color w:val="111111"/>
          <w:sz w:val="17"/>
          <w:szCs w:val="17"/>
          <w:lang w:eastAsia="es-CO" w:bidi="ar-SA"/>
        </w:rPr>
        <w:t xml:space="preserve"> 123-137</w:t>
      </w:r>
      <w:r>
        <w:rPr>
          <w:rFonts w:ascii="Verdana" w:hAnsi="Verdana"/>
          <w:snapToGrid/>
          <w:color w:val="111111"/>
          <w:sz w:val="17"/>
          <w:szCs w:val="17"/>
          <w:lang w:eastAsia="es-CO" w:bidi="ar-SA"/>
        </w:rPr>
        <w:t>.</w:t>
      </w:r>
    </w:p>
    <w:p w:rsidR="00061407" w:rsidRPr="00061407" w:rsidRDefault="00D434F4" w:rsidP="00061407">
      <w:pPr>
        <w:pStyle w:val="MDPI71References"/>
        <w:numPr>
          <w:ilvl w:val="0"/>
          <w:numId w:val="0"/>
        </w:numPr>
        <w:rPr>
          <w:rFonts w:ascii="Verdana" w:hAnsi="Verdana"/>
          <w:snapToGrid/>
          <w:color w:val="111111"/>
          <w:sz w:val="17"/>
          <w:szCs w:val="17"/>
          <w:lang w:eastAsia="es-CO" w:bidi="ar-SA"/>
        </w:rPr>
      </w:pPr>
      <w:proofErr w:type="gramStart"/>
      <w:r>
        <w:rPr>
          <w:rFonts w:ascii="Verdana" w:hAnsi="Verdana"/>
          <w:snapToGrid/>
          <w:color w:val="111111"/>
          <w:sz w:val="17"/>
          <w:szCs w:val="17"/>
          <w:lang w:eastAsia="es-CO" w:bidi="ar-SA"/>
        </w:rPr>
        <w:t>[7</w:t>
      </w:r>
      <w:r w:rsidR="00061407" w:rsidRPr="00061407">
        <w:rPr>
          <w:rFonts w:ascii="Verdana" w:hAnsi="Verdana"/>
          <w:snapToGrid/>
          <w:color w:val="111111"/>
          <w:sz w:val="17"/>
          <w:szCs w:val="17"/>
          <w:lang w:eastAsia="es-CO" w:bidi="ar-SA"/>
        </w:rPr>
        <w:t xml:space="preserve">] </w:t>
      </w:r>
      <w:r w:rsidR="00922FE5">
        <w:rPr>
          <w:rFonts w:ascii="Verdana" w:hAnsi="Verdana"/>
          <w:snapToGrid/>
          <w:color w:val="111111"/>
          <w:sz w:val="17"/>
          <w:szCs w:val="17"/>
          <w:lang w:eastAsia="es-CO" w:bidi="ar-SA"/>
        </w:rPr>
        <w:t xml:space="preserve">L. Fowler and J. </w:t>
      </w:r>
      <w:r w:rsidR="00061407" w:rsidRPr="00061407">
        <w:rPr>
          <w:rFonts w:ascii="Verdana" w:hAnsi="Verdana"/>
          <w:snapToGrid/>
          <w:color w:val="111111"/>
          <w:sz w:val="17"/>
          <w:szCs w:val="17"/>
          <w:lang w:eastAsia="es-CO" w:bidi="ar-SA"/>
        </w:rPr>
        <w:t xml:space="preserve">Breen, </w:t>
      </w:r>
      <w:r w:rsidR="00922FE5">
        <w:rPr>
          <w:rFonts w:ascii="Verdana" w:hAnsi="Verdana"/>
          <w:snapToGrid/>
          <w:color w:val="111111"/>
          <w:sz w:val="17"/>
          <w:szCs w:val="17"/>
          <w:lang w:eastAsia="es-CO" w:bidi="ar-SA"/>
        </w:rPr>
        <w:t>“</w:t>
      </w:r>
      <w:r w:rsidR="00061407" w:rsidRPr="00061407">
        <w:rPr>
          <w:rFonts w:ascii="Verdana" w:hAnsi="Verdana"/>
          <w:snapToGrid/>
          <w:color w:val="111111"/>
          <w:sz w:val="17"/>
          <w:szCs w:val="17"/>
          <w:lang w:eastAsia="es-CO" w:bidi="ar-SA"/>
        </w:rPr>
        <w:t>Political influences and financial incentives for renewable energy</w:t>
      </w:r>
      <w:r w:rsidR="00922FE5">
        <w:rPr>
          <w:rFonts w:ascii="Verdana" w:hAnsi="Verdana"/>
          <w:snapToGrid/>
          <w:color w:val="111111"/>
          <w:sz w:val="17"/>
          <w:szCs w:val="17"/>
          <w:lang w:eastAsia="es-CO" w:bidi="ar-SA"/>
        </w:rPr>
        <w:t>,” in</w:t>
      </w:r>
      <w:r w:rsidR="00061407" w:rsidRPr="00922FE5">
        <w:rPr>
          <w:rFonts w:ascii="Verdana" w:hAnsi="Verdana"/>
          <w:i/>
          <w:snapToGrid/>
          <w:color w:val="111111"/>
          <w:sz w:val="17"/>
          <w:szCs w:val="17"/>
          <w:lang w:eastAsia="es-CO" w:bidi="ar-SA"/>
        </w:rPr>
        <w:t xml:space="preserve"> The Electricity Journal</w:t>
      </w:r>
      <w:r w:rsidR="00922FE5">
        <w:rPr>
          <w:rFonts w:ascii="Verdana" w:hAnsi="Verdana"/>
          <w:snapToGrid/>
          <w:color w:val="111111"/>
          <w:sz w:val="17"/>
          <w:szCs w:val="17"/>
          <w:lang w:eastAsia="es-CO" w:bidi="ar-SA"/>
        </w:rPr>
        <w:t xml:space="preserve">, Vol. 27, </w:t>
      </w:r>
      <w:r w:rsidR="00061407" w:rsidRPr="00061407">
        <w:rPr>
          <w:rFonts w:ascii="Verdana" w:hAnsi="Verdana"/>
          <w:snapToGrid/>
          <w:color w:val="111111"/>
          <w:sz w:val="17"/>
          <w:szCs w:val="17"/>
          <w:lang w:eastAsia="es-CO" w:bidi="ar-SA"/>
        </w:rPr>
        <w:t xml:space="preserve">2014, </w:t>
      </w:r>
      <w:r w:rsidR="00922FE5">
        <w:rPr>
          <w:rFonts w:ascii="Verdana" w:hAnsi="Verdana"/>
          <w:snapToGrid/>
          <w:color w:val="111111"/>
          <w:sz w:val="17"/>
          <w:szCs w:val="17"/>
          <w:lang w:eastAsia="es-CO" w:bidi="ar-SA"/>
        </w:rPr>
        <w:t>pp. 74-84.</w:t>
      </w:r>
      <w:proofErr w:type="gramEnd"/>
    </w:p>
    <w:p w:rsidR="00061407" w:rsidRPr="00966143" w:rsidRDefault="00D434F4" w:rsidP="00922FE5">
      <w:pPr>
        <w:pStyle w:val="MDPI71References"/>
        <w:numPr>
          <w:ilvl w:val="0"/>
          <w:numId w:val="0"/>
        </w:numPr>
      </w:pPr>
      <w:r>
        <w:rPr>
          <w:rFonts w:ascii="Verdana" w:hAnsi="Verdana"/>
          <w:snapToGrid/>
          <w:color w:val="111111"/>
          <w:sz w:val="17"/>
          <w:szCs w:val="17"/>
          <w:lang w:eastAsia="es-CO" w:bidi="ar-SA"/>
        </w:rPr>
        <w:t>[8</w:t>
      </w:r>
      <w:r w:rsidR="00922FE5" w:rsidRPr="00922FE5">
        <w:rPr>
          <w:rFonts w:ascii="Verdana" w:hAnsi="Verdana"/>
          <w:snapToGrid/>
          <w:color w:val="111111"/>
          <w:sz w:val="17"/>
          <w:szCs w:val="17"/>
          <w:lang w:eastAsia="es-CO" w:bidi="ar-SA"/>
        </w:rPr>
        <w:t>]</w:t>
      </w:r>
      <w:r w:rsidR="00922FE5">
        <w:rPr>
          <w:rFonts w:ascii="Verdana" w:hAnsi="Verdana"/>
          <w:snapToGrid/>
          <w:color w:val="111111"/>
          <w:sz w:val="17"/>
          <w:szCs w:val="17"/>
          <w:lang w:eastAsia="es-CO" w:bidi="ar-SA"/>
        </w:rPr>
        <w:t xml:space="preserve"> N. </w:t>
      </w:r>
      <w:proofErr w:type="spellStart"/>
      <w:r w:rsidR="00061407" w:rsidRPr="00922FE5">
        <w:rPr>
          <w:rFonts w:ascii="Verdana" w:hAnsi="Verdana"/>
          <w:snapToGrid/>
          <w:color w:val="111111"/>
          <w:sz w:val="17"/>
          <w:szCs w:val="17"/>
          <w:lang w:eastAsia="es-CO" w:bidi="ar-SA"/>
        </w:rPr>
        <w:t>Kilinc</w:t>
      </w:r>
      <w:proofErr w:type="spellEnd"/>
      <w:r w:rsidR="00061407" w:rsidRPr="00922FE5">
        <w:rPr>
          <w:rFonts w:ascii="Verdana" w:hAnsi="Verdana"/>
          <w:snapToGrid/>
          <w:color w:val="111111"/>
          <w:sz w:val="17"/>
          <w:szCs w:val="17"/>
          <w:lang w:eastAsia="es-CO" w:bidi="ar-SA"/>
        </w:rPr>
        <w:t xml:space="preserve">-Ata, </w:t>
      </w:r>
      <w:r w:rsidR="0012272B">
        <w:rPr>
          <w:rFonts w:ascii="Verdana" w:hAnsi="Verdana"/>
          <w:snapToGrid/>
          <w:color w:val="111111"/>
          <w:sz w:val="17"/>
          <w:szCs w:val="17"/>
          <w:lang w:eastAsia="es-CO" w:bidi="ar-SA"/>
        </w:rPr>
        <w:t>“</w:t>
      </w:r>
      <w:r w:rsidR="00061407" w:rsidRPr="00922FE5">
        <w:rPr>
          <w:rFonts w:ascii="Verdana" w:hAnsi="Verdana"/>
          <w:snapToGrid/>
          <w:color w:val="111111"/>
          <w:sz w:val="17"/>
          <w:szCs w:val="17"/>
          <w:lang w:eastAsia="es-CO" w:bidi="ar-SA"/>
        </w:rPr>
        <w:t>The evaluation of renewable energy policies across EU countries and US states: An econometric approach</w:t>
      </w:r>
      <w:r w:rsidR="0012272B">
        <w:rPr>
          <w:rFonts w:ascii="Verdana" w:hAnsi="Verdana"/>
          <w:snapToGrid/>
          <w:color w:val="111111"/>
          <w:sz w:val="17"/>
          <w:szCs w:val="17"/>
          <w:lang w:eastAsia="es-CO" w:bidi="ar-SA"/>
        </w:rPr>
        <w:t>,” in</w:t>
      </w:r>
      <w:r w:rsidR="00061407" w:rsidRPr="0012272B">
        <w:rPr>
          <w:rFonts w:ascii="Verdana" w:hAnsi="Verdana"/>
          <w:i/>
          <w:snapToGrid/>
          <w:color w:val="111111"/>
          <w:sz w:val="17"/>
          <w:szCs w:val="17"/>
          <w:lang w:eastAsia="es-CO" w:bidi="ar-SA"/>
        </w:rPr>
        <w:t xml:space="preserve"> Energy for Sustainable Development</w:t>
      </w:r>
      <w:r w:rsidR="0012272B">
        <w:rPr>
          <w:rFonts w:ascii="Verdana" w:hAnsi="Verdana"/>
          <w:snapToGrid/>
          <w:color w:val="111111"/>
          <w:sz w:val="17"/>
          <w:szCs w:val="17"/>
          <w:lang w:eastAsia="es-CO" w:bidi="ar-SA"/>
        </w:rPr>
        <w:t>, Vol.31,</w:t>
      </w:r>
      <w:r w:rsidR="00061407" w:rsidRPr="00922FE5">
        <w:rPr>
          <w:rFonts w:ascii="Verdana" w:hAnsi="Verdana"/>
          <w:snapToGrid/>
          <w:color w:val="111111"/>
          <w:sz w:val="17"/>
          <w:szCs w:val="17"/>
          <w:lang w:eastAsia="es-CO" w:bidi="ar-SA"/>
        </w:rPr>
        <w:t xml:space="preserve"> 2016, </w:t>
      </w:r>
      <w:r w:rsidR="0012272B">
        <w:rPr>
          <w:rFonts w:ascii="Verdana" w:hAnsi="Verdana"/>
          <w:snapToGrid/>
          <w:color w:val="111111"/>
          <w:sz w:val="17"/>
          <w:szCs w:val="17"/>
          <w:lang w:eastAsia="es-CO" w:bidi="ar-SA"/>
        </w:rPr>
        <w:t>pp.</w:t>
      </w:r>
      <w:r w:rsidR="00061407" w:rsidRPr="00922FE5">
        <w:rPr>
          <w:rFonts w:ascii="Verdana" w:hAnsi="Verdana"/>
          <w:snapToGrid/>
          <w:color w:val="111111"/>
          <w:sz w:val="17"/>
          <w:szCs w:val="17"/>
          <w:lang w:eastAsia="es-CO" w:bidi="ar-SA"/>
        </w:rPr>
        <w:t xml:space="preserve"> 83-90</w:t>
      </w:r>
      <w:r w:rsidR="0012272B">
        <w:rPr>
          <w:rFonts w:ascii="Verdana" w:hAnsi="Verdana"/>
          <w:snapToGrid/>
          <w:color w:val="111111"/>
          <w:sz w:val="17"/>
          <w:szCs w:val="17"/>
          <w:lang w:eastAsia="es-CO" w:bidi="ar-SA"/>
        </w:rPr>
        <w:t>.</w:t>
      </w:r>
    </w:p>
    <w:p w:rsidR="00061407" w:rsidRDefault="00D434F4" w:rsidP="00AA2617">
      <w:pPr>
        <w:pStyle w:val="MDPI71References"/>
        <w:numPr>
          <w:ilvl w:val="0"/>
          <w:numId w:val="0"/>
        </w:numPr>
        <w:rPr>
          <w:rFonts w:ascii="Verdana" w:hAnsi="Verdana"/>
          <w:snapToGrid/>
          <w:color w:val="111111"/>
          <w:sz w:val="17"/>
          <w:szCs w:val="17"/>
          <w:lang w:eastAsia="es-CO" w:bidi="ar-SA"/>
        </w:rPr>
      </w:pPr>
      <w:r>
        <w:rPr>
          <w:rFonts w:ascii="Verdana" w:hAnsi="Verdana"/>
          <w:snapToGrid/>
          <w:color w:val="111111"/>
          <w:sz w:val="17"/>
          <w:szCs w:val="17"/>
          <w:lang w:eastAsia="es-CO" w:bidi="ar-SA"/>
        </w:rPr>
        <w:t>[9</w:t>
      </w:r>
      <w:r w:rsidR="0012272B" w:rsidRPr="0012272B">
        <w:rPr>
          <w:rFonts w:ascii="Verdana" w:hAnsi="Verdana"/>
          <w:snapToGrid/>
          <w:color w:val="111111"/>
          <w:sz w:val="17"/>
          <w:szCs w:val="17"/>
          <w:lang w:eastAsia="es-CO" w:bidi="ar-SA"/>
        </w:rPr>
        <w:t xml:space="preserve">] Z. </w:t>
      </w:r>
      <w:r w:rsidR="00061407" w:rsidRPr="0012272B">
        <w:rPr>
          <w:rFonts w:ascii="Verdana" w:hAnsi="Verdana"/>
          <w:snapToGrid/>
          <w:color w:val="111111"/>
          <w:sz w:val="17"/>
          <w:szCs w:val="17"/>
          <w:lang w:eastAsia="es-CO" w:bidi="ar-SA"/>
        </w:rPr>
        <w:t xml:space="preserve">Liu, </w:t>
      </w:r>
      <w:r w:rsidR="0012272B" w:rsidRPr="0012272B">
        <w:rPr>
          <w:rFonts w:ascii="Verdana" w:hAnsi="Verdana"/>
          <w:snapToGrid/>
          <w:color w:val="111111"/>
          <w:sz w:val="17"/>
          <w:szCs w:val="17"/>
          <w:lang w:eastAsia="es-CO" w:bidi="ar-SA"/>
        </w:rPr>
        <w:t xml:space="preserve">W. </w:t>
      </w:r>
      <w:r w:rsidR="00061407" w:rsidRPr="0012272B">
        <w:rPr>
          <w:rFonts w:ascii="Verdana" w:hAnsi="Verdana"/>
          <w:snapToGrid/>
          <w:color w:val="111111"/>
          <w:sz w:val="17"/>
          <w:szCs w:val="17"/>
          <w:lang w:eastAsia="es-CO" w:bidi="ar-SA"/>
        </w:rPr>
        <w:t xml:space="preserve">Zhang, </w:t>
      </w:r>
      <w:r w:rsidR="0012272B" w:rsidRPr="0012272B">
        <w:rPr>
          <w:rFonts w:ascii="Verdana" w:hAnsi="Verdana"/>
          <w:snapToGrid/>
          <w:color w:val="111111"/>
          <w:sz w:val="17"/>
          <w:szCs w:val="17"/>
          <w:lang w:eastAsia="es-CO" w:bidi="ar-SA"/>
        </w:rPr>
        <w:t xml:space="preserve">C. Zhao and J. </w:t>
      </w:r>
      <w:r w:rsidR="00061407" w:rsidRPr="0012272B">
        <w:rPr>
          <w:rFonts w:ascii="Verdana" w:hAnsi="Verdana"/>
          <w:snapToGrid/>
          <w:color w:val="111111"/>
          <w:sz w:val="17"/>
          <w:szCs w:val="17"/>
          <w:lang w:eastAsia="es-CO" w:bidi="ar-SA"/>
        </w:rPr>
        <w:t xml:space="preserve">Yuan, </w:t>
      </w:r>
      <w:r w:rsidR="0012272B" w:rsidRPr="0012272B">
        <w:rPr>
          <w:rFonts w:ascii="Verdana" w:hAnsi="Verdana"/>
          <w:snapToGrid/>
          <w:color w:val="111111"/>
          <w:sz w:val="17"/>
          <w:szCs w:val="17"/>
          <w:lang w:eastAsia="es-CO" w:bidi="ar-SA"/>
        </w:rPr>
        <w:t>“</w:t>
      </w:r>
      <w:r w:rsidR="00061407" w:rsidRPr="0012272B">
        <w:rPr>
          <w:rFonts w:ascii="Verdana" w:hAnsi="Verdana"/>
          <w:snapToGrid/>
          <w:color w:val="111111"/>
          <w:sz w:val="17"/>
          <w:szCs w:val="17"/>
          <w:lang w:eastAsia="es-CO" w:bidi="ar-SA"/>
        </w:rPr>
        <w:t>The economics of wind power in China and policy implications</w:t>
      </w:r>
      <w:r w:rsidR="0012272B" w:rsidRPr="0012272B">
        <w:rPr>
          <w:rFonts w:ascii="Verdana" w:hAnsi="Verdana"/>
          <w:snapToGrid/>
          <w:color w:val="111111"/>
          <w:sz w:val="17"/>
          <w:szCs w:val="17"/>
          <w:lang w:eastAsia="es-CO" w:bidi="ar-SA"/>
        </w:rPr>
        <w:t>,” in</w:t>
      </w:r>
      <w:r w:rsidR="00061407" w:rsidRPr="0012272B">
        <w:rPr>
          <w:rFonts w:ascii="Verdana" w:hAnsi="Verdana"/>
          <w:snapToGrid/>
          <w:color w:val="111111"/>
          <w:sz w:val="17"/>
          <w:szCs w:val="17"/>
          <w:lang w:eastAsia="es-CO" w:bidi="ar-SA"/>
        </w:rPr>
        <w:t xml:space="preserve"> </w:t>
      </w:r>
      <w:r w:rsidR="00061407" w:rsidRPr="0012272B">
        <w:rPr>
          <w:rFonts w:ascii="Verdana" w:hAnsi="Verdana"/>
          <w:i/>
          <w:snapToGrid/>
          <w:color w:val="111111"/>
          <w:sz w:val="17"/>
          <w:szCs w:val="17"/>
          <w:lang w:eastAsia="es-CO" w:bidi="ar-SA"/>
        </w:rPr>
        <w:t>Energies</w:t>
      </w:r>
      <w:r w:rsidR="0012272B" w:rsidRPr="0012272B">
        <w:rPr>
          <w:rFonts w:ascii="Verdana" w:hAnsi="Verdana"/>
          <w:snapToGrid/>
          <w:color w:val="111111"/>
          <w:sz w:val="17"/>
          <w:szCs w:val="17"/>
          <w:lang w:eastAsia="es-CO" w:bidi="ar-SA"/>
        </w:rPr>
        <w:t xml:space="preserve">, Vol. 8, </w:t>
      </w:r>
      <w:r w:rsidR="00061407" w:rsidRPr="0012272B">
        <w:rPr>
          <w:rFonts w:ascii="Verdana" w:hAnsi="Verdana"/>
          <w:snapToGrid/>
          <w:color w:val="111111"/>
          <w:sz w:val="17"/>
          <w:szCs w:val="17"/>
          <w:lang w:eastAsia="es-CO" w:bidi="ar-SA"/>
        </w:rPr>
        <w:t xml:space="preserve">2015, </w:t>
      </w:r>
      <w:r w:rsidR="0012272B" w:rsidRPr="0012272B">
        <w:rPr>
          <w:rFonts w:ascii="Verdana" w:hAnsi="Verdana"/>
          <w:snapToGrid/>
          <w:color w:val="111111"/>
          <w:sz w:val="17"/>
          <w:szCs w:val="17"/>
          <w:lang w:eastAsia="es-CO" w:bidi="ar-SA"/>
        </w:rPr>
        <w:t>pp.</w:t>
      </w:r>
      <w:r w:rsidR="00061407" w:rsidRPr="0012272B">
        <w:rPr>
          <w:rFonts w:ascii="Verdana" w:hAnsi="Verdana"/>
          <w:snapToGrid/>
          <w:color w:val="111111"/>
          <w:sz w:val="17"/>
          <w:szCs w:val="17"/>
          <w:lang w:eastAsia="es-CO" w:bidi="ar-SA"/>
        </w:rPr>
        <w:t xml:space="preserve"> 1529-1546</w:t>
      </w:r>
      <w:r w:rsidR="0012272B" w:rsidRPr="0012272B">
        <w:rPr>
          <w:rFonts w:ascii="Verdana" w:hAnsi="Verdana"/>
          <w:snapToGrid/>
          <w:color w:val="111111"/>
          <w:sz w:val="17"/>
          <w:szCs w:val="17"/>
          <w:lang w:eastAsia="es-CO" w:bidi="ar-SA"/>
        </w:rPr>
        <w:t>.</w:t>
      </w:r>
    </w:p>
    <w:p w:rsidR="0012272B" w:rsidRDefault="00D434F4" w:rsidP="0012272B">
      <w:pPr>
        <w:pStyle w:val="MDPI71References"/>
        <w:numPr>
          <w:ilvl w:val="0"/>
          <w:numId w:val="0"/>
        </w:numPr>
      </w:pPr>
      <w:r>
        <w:rPr>
          <w:rFonts w:ascii="Verdana" w:hAnsi="Verdana"/>
          <w:snapToGrid/>
          <w:color w:val="111111"/>
          <w:sz w:val="17"/>
          <w:szCs w:val="17"/>
          <w:lang w:eastAsia="es-CO" w:bidi="ar-SA"/>
        </w:rPr>
        <w:t>[10</w:t>
      </w:r>
      <w:r w:rsidR="0012272B" w:rsidRPr="0012272B">
        <w:rPr>
          <w:rFonts w:ascii="Verdana" w:hAnsi="Verdana"/>
          <w:snapToGrid/>
          <w:color w:val="111111"/>
          <w:sz w:val="17"/>
          <w:szCs w:val="17"/>
          <w:lang w:eastAsia="es-CO" w:bidi="ar-SA"/>
        </w:rPr>
        <w:t xml:space="preserve">]S. Romano, M. </w:t>
      </w:r>
      <w:proofErr w:type="spellStart"/>
      <w:r w:rsidR="0012272B" w:rsidRPr="0012272B">
        <w:rPr>
          <w:rFonts w:ascii="Verdana" w:hAnsi="Verdana"/>
          <w:snapToGrid/>
          <w:color w:val="111111"/>
          <w:sz w:val="17"/>
          <w:szCs w:val="17"/>
          <w:lang w:eastAsia="es-CO" w:bidi="ar-SA"/>
        </w:rPr>
        <w:t>Cozzi</w:t>
      </w:r>
      <w:proofErr w:type="spellEnd"/>
      <w:r w:rsidR="0012272B" w:rsidRPr="0012272B">
        <w:rPr>
          <w:rFonts w:ascii="Verdana" w:hAnsi="Verdana"/>
          <w:snapToGrid/>
          <w:color w:val="111111"/>
          <w:sz w:val="17"/>
          <w:szCs w:val="17"/>
          <w:lang w:eastAsia="es-CO" w:bidi="ar-SA"/>
        </w:rPr>
        <w:t xml:space="preserve">, F. Di Napoli and M. </w:t>
      </w:r>
      <w:proofErr w:type="spellStart"/>
      <w:r w:rsidR="0012272B" w:rsidRPr="0012272B">
        <w:rPr>
          <w:rFonts w:ascii="Verdana" w:hAnsi="Verdana"/>
          <w:snapToGrid/>
          <w:color w:val="111111"/>
          <w:sz w:val="17"/>
          <w:szCs w:val="17"/>
          <w:lang w:eastAsia="es-CO" w:bidi="ar-SA"/>
        </w:rPr>
        <w:t>Viccaro</w:t>
      </w:r>
      <w:proofErr w:type="spellEnd"/>
      <w:r w:rsidR="0012272B" w:rsidRPr="0012272B">
        <w:rPr>
          <w:rFonts w:ascii="Verdana" w:hAnsi="Verdana"/>
          <w:snapToGrid/>
          <w:color w:val="111111"/>
          <w:sz w:val="17"/>
          <w:szCs w:val="17"/>
          <w:lang w:eastAsia="es-CO" w:bidi="ar-SA"/>
        </w:rPr>
        <w:t xml:space="preserve">, “Building agro-energy supply chains in the Basilicata region: Technical and economic evaluation of interchangeability between fossil and renewable energy sources,” in </w:t>
      </w:r>
      <w:r w:rsidR="0012272B" w:rsidRPr="0012272B">
        <w:rPr>
          <w:rFonts w:ascii="Verdana" w:hAnsi="Verdana"/>
          <w:i/>
          <w:snapToGrid/>
          <w:color w:val="111111"/>
          <w:sz w:val="17"/>
          <w:szCs w:val="17"/>
          <w:lang w:eastAsia="es-CO" w:bidi="ar-SA"/>
        </w:rPr>
        <w:t>Energies</w:t>
      </w:r>
      <w:r w:rsidR="0012272B" w:rsidRPr="0012272B">
        <w:rPr>
          <w:rFonts w:ascii="Verdana" w:hAnsi="Verdana"/>
          <w:snapToGrid/>
          <w:color w:val="111111"/>
          <w:sz w:val="17"/>
          <w:szCs w:val="17"/>
          <w:lang w:eastAsia="es-CO" w:bidi="ar-SA"/>
        </w:rPr>
        <w:t>, Vol. 6, 2013, pp. 5259-5282</w:t>
      </w:r>
      <w:r w:rsidR="0012272B">
        <w:t>.</w:t>
      </w:r>
    </w:p>
    <w:p w:rsidR="0012272B" w:rsidRDefault="005C14AF" w:rsidP="00B979A0">
      <w:pPr>
        <w:pStyle w:val="MDPI71References"/>
        <w:numPr>
          <w:ilvl w:val="0"/>
          <w:numId w:val="0"/>
        </w:numPr>
        <w:jc w:val="left"/>
        <w:rPr>
          <w:rFonts w:ascii="Verdana" w:hAnsi="Verdana"/>
          <w:snapToGrid/>
          <w:color w:val="111111"/>
          <w:sz w:val="17"/>
          <w:szCs w:val="17"/>
          <w:lang w:eastAsia="es-CO" w:bidi="ar-SA"/>
        </w:rPr>
      </w:pPr>
      <w:r w:rsidRPr="00CC0BA6">
        <w:rPr>
          <w:rFonts w:ascii="Verdana" w:hAnsi="Verdana"/>
          <w:snapToGrid/>
          <w:color w:val="111111"/>
          <w:sz w:val="17"/>
          <w:szCs w:val="17"/>
          <w:lang w:eastAsia="es-CO" w:bidi="ar-SA"/>
        </w:rPr>
        <w:t>[11</w:t>
      </w:r>
      <w:r w:rsidR="00121FAC" w:rsidRPr="00CC0BA6">
        <w:rPr>
          <w:rFonts w:ascii="Verdana" w:hAnsi="Verdana"/>
          <w:snapToGrid/>
          <w:color w:val="111111"/>
          <w:sz w:val="17"/>
          <w:szCs w:val="17"/>
          <w:lang w:eastAsia="es-CO" w:bidi="ar-SA"/>
        </w:rPr>
        <w:t xml:space="preserve">] </w:t>
      </w:r>
      <w:r w:rsidR="0012272B" w:rsidRPr="00CC0BA6">
        <w:rPr>
          <w:rFonts w:ascii="Verdana" w:hAnsi="Verdana"/>
          <w:snapToGrid/>
          <w:color w:val="111111"/>
          <w:sz w:val="17"/>
          <w:szCs w:val="17"/>
          <w:lang w:eastAsia="es-CO" w:bidi="ar-SA"/>
        </w:rPr>
        <w:t xml:space="preserve">UPME. </w:t>
      </w:r>
      <w:proofErr w:type="gramStart"/>
      <w:r w:rsidR="0012272B" w:rsidRPr="00CC0BA6">
        <w:rPr>
          <w:rFonts w:ascii="Verdana" w:hAnsi="Verdana"/>
          <w:snapToGrid/>
          <w:color w:val="111111"/>
          <w:sz w:val="17"/>
          <w:szCs w:val="17"/>
          <w:lang w:eastAsia="es-CO" w:bidi="ar-SA"/>
        </w:rPr>
        <w:t xml:space="preserve">Atlas de </w:t>
      </w:r>
      <w:proofErr w:type="spellStart"/>
      <w:r w:rsidR="0012272B" w:rsidRPr="00CC0BA6">
        <w:rPr>
          <w:rFonts w:ascii="Verdana" w:hAnsi="Verdana"/>
          <w:snapToGrid/>
          <w:color w:val="111111"/>
          <w:sz w:val="17"/>
          <w:szCs w:val="17"/>
          <w:lang w:eastAsia="es-CO" w:bidi="ar-SA"/>
        </w:rPr>
        <w:t>potencial</w:t>
      </w:r>
      <w:proofErr w:type="spellEnd"/>
      <w:r w:rsidR="0012272B" w:rsidRPr="00CC0BA6">
        <w:rPr>
          <w:rFonts w:ascii="Verdana" w:hAnsi="Verdana"/>
          <w:snapToGrid/>
          <w:color w:val="111111"/>
          <w:sz w:val="17"/>
          <w:szCs w:val="17"/>
          <w:lang w:eastAsia="es-CO" w:bidi="ar-SA"/>
        </w:rPr>
        <w:t xml:space="preserve"> </w:t>
      </w:r>
      <w:proofErr w:type="spellStart"/>
      <w:r w:rsidR="0012272B" w:rsidRPr="00CC0BA6">
        <w:rPr>
          <w:rFonts w:ascii="Verdana" w:hAnsi="Verdana"/>
          <w:snapToGrid/>
          <w:color w:val="111111"/>
          <w:sz w:val="17"/>
          <w:szCs w:val="17"/>
          <w:lang w:eastAsia="es-CO" w:bidi="ar-SA"/>
        </w:rPr>
        <w:t>hidroenergético</w:t>
      </w:r>
      <w:proofErr w:type="spellEnd"/>
      <w:r w:rsidR="0012272B" w:rsidRPr="00CC0BA6">
        <w:rPr>
          <w:rFonts w:ascii="Verdana" w:hAnsi="Verdana"/>
          <w:snapToGrid/>
          <w:color w:val="111111"/>
          <w:sz w:val="17"/>
          <w:szCs w:val="17"/>
          <w:lang w:eastAsia="es-CO" w:bidi="ar-SA"/>
        </w:rPr>
        <w:t xml:space="preserve"> de Colombia.</w:t>
      </w:r>
      <w:proofErr w:type="gramEnd"/>
      <w:r w:rsidR="0012272B" w:rsidRPr="00CC0BA6">
        <w:rPr>
          <w:rFonts w:ascii="Verdana" w:hAnsi="Verdana"/>
          <w:snapToGrid/>
          <w:color w:val="111111"/>
          <w:sz w:val="17"/>
          <w:szCs w:val="17"/>
          <w:lang w:eastAsia="es-CO" w:bidi="ar-SA"/>
        </w:rPr>
        <w:t xml:space="preserve"> </w:t>
      </w:r>
      <w:proofErr w:type="spellStart"/>
      <w:r w:rsidR="0012272B" w:rsidRPr="00CC0BA6">
        <w:rPr>
          <w:rFonts w:ascii="Verdana" w:hAnsi="Verdana"/>
          <w:snapToGrid/>
          <w:color w:val="111111"/>
          <w:sz w:val="17"/>
          <w:szCs w:val="17"/>
          <w:lang w:eastAsia="es-CO" w:bidi="ar-SA"/>
        </w:rPr>
        <w:t>Pontificia</w:t>
      </w:r>
      <w:proofErr w:type="spellEnd"/>
      <w:r w:rsidR="0012272B" w:rsidRPr="00CC0BA6">
        <w:rPr>
          <w:rFonts w:ascii="Verdana" w:hAnsi="Verdana"/>
          <w:snapToGrid/>
          <w:color w:val="111111"/>
          <w:sz w:val="17"/>
          <w:szCs w:val="17"/>
          <w:lang w:eastAsia="es-CO" w:bidi="ar-SA"/>
        </w:rPr>
        <w:t xml:space="preserve"> Universidad </w:t>
      </w:r>
      <w:proofErr w:type="spellStart"/>
      <w:r w:rsidR="0012272B" w:rsidRPr="00CC0BA6">
        <w:rPr>
          <w:rFonts w:ascii="Verdana" w:hAnsi="Verdana"/>
          <w:snapToGrid/>
          <w:color w:val="111111"/>
          <w:sz w:val="17"/>
          <w:szCs w:val="17"/>
          <w:lang w:eastAsia="es-CO" w:bidi="ar-SA"/>
        </w:rPr>
        <w:t>Javeriana</w:t>
      </w:r>
      <w:proofErr w:type="spellEnd"/>
      <w:proofErr w:type="gramStart"/>
      <w:r w:rsidR="0012272B" w:rsidRPr="00CC0BA6">
        <w:rPr>
          <w:rFonts w:ascii="Verdana" w:hAnsi="Verdana"/>
          <w:snapToGrid/>
          <w:color w:val="111111"/>
          <w:sz w:val="17"/>
          <w:szCs w:val="17"/>
          <w:lang w:eastAsia="es-CO" w:bidi="ar-SA"/>
        </w:rPr>
        <w:t xml:space="preserve">, </w:t>
      </w:r>
      <w:r w:rsidR="00154F6D" w:rsidRPr="00CC0BA6">
        <w:rPr>
          <w:rFonts w:ascii="Verdana" w:hAnsi="Verdana"/>
          <w:snapToGrid/>
          <w:color w:val="111111"/>
          <w:sz w:val="17"/>
          <w:szCs w:val="17"/>
          <w:lang w:eastAsia="es-CO" w:bidi="ar-SA"/>
        </w:rPr>
        <w:t xml:space="preserve"> </w:t>
      </w:r>
      <w:r w:rsidR="0012272B" w:rsidRPr="00CC0BA6">
        <w:rPr>
          <w:rFonts w:ascii="Verdana" w:hAnsi="Verdana"/>
          <w:snapToGrid/>
          <w:color w:val="111111"/>
          <w:sz w:val="17"/>
          <w:szCs w:val="17"/>
          <w:lang w:eastAsia="es-CO" w:bidi="ar-SA"/>
        </w:rPr>
        <w:t>Colombi</w:t>
      </w:r>
      <w:r w:rsidR="00121FAC" w:rsidRPr="00CC0BA6">
        <w:rPr>
          <w:rFonts w:ascii="Verdana" w:hAnsi="Verdana"/>
          <w:snapToGrid/>
          <w:color w:val="111111"/>
          <w:sz w:val="17"/>
          <w:szCs w:val="17"/>
          <w:lang w:eastAsia="es-CO" w:bidi="ar-SA"/>
        </w:rPr>
        <w:t>a</w:t>
      </w:r>
      <w:proofErr w:type="gramEnd"/>
      <w:r w:rsidR="0012272B" w:rsidRPr="00CC0BA6">
        <w:rPr>
          <w:rFonts w:ascii="Verdana" w:hAnsi="Verdana"/>
          <w:snapToGrid/>
          <w:color w:val="111111"/>
          <w:sz w:val="17"/>
          <w:szCs w:val="17"/>
          <w:lang w:eastAsia="es-CO" w:bidi="ar-SA"/>
        </w:rPr>
        <w:t xml:space="preserve">. </w:t>
      </w:r>
      <w:proofErr w:type="gramStart"/>
      <w:r w:rsidR="0012272B" w:rsidRPr="00CC0BA6">
        <w:rPr>
          <w:rFonts w:ascii="Verdana" w:hAnsi="Verdana"/>
          <w:snapToGrid/>
          <w:color w:val="111111"/>
          <w:sz w:val="17"/>
          <w:szCs w:val="17"/>
          <w:lang w:eastAsia="es-CO" w:bidi="ar-SA"/>
        </w:rPr>
        <w:t>73-100 (in Spanish).</w:t>
      </w:r>
      <w:proofErr w:type="gramEnd"/>
      <w:r w:rsidR="00121FAC" w:rsidRPr="00CC0BA6">
        <w:rPr>
          <w:rFonts w:ascii="Verdana" w:hAnsi="Verdana"/>
          <w:snapToGrid/>
          <w:color w:val="111111"/>
          <w:sz w:val="17"/>
          <w:szCs w:val="17"/>
          <w:lang w:eastAsia="es-CO" w:bidi="ar-SA"/>
        </w:rPr>
        <w:t xml:space="preserve"> </w:t>
      </w:r>
      <w:r w:rsidR="00121FAC" w:rsidRPr="00121FAC">
        <w:rPr>
          <w:rFonts w:ascii="Verdana" w:hAnsi="Verdana"/>
          <w:snapToGrid/>
          <w:color w:val="111111"/>
          <w:sz w:val="17"/>
          <w:szCs w:val="17"/>
          <w:lang w:eastAsia="es-CO" w:bidi="ar-SA"/>
        </w:rPr>
        <w:t>2015</w:t>
      </w:r>
      <w:r w:rsidR="0012272B" w:rsidRPr="00121FAC">
        <w:rPr>
          <w:rFonts w:ascii="Verdana" w:hAnsi="Verdana"/>
          <w:snapToGrid/>
          <w:color w:val="111111"/>
          <w:sz w:val="17"/>
          <w:szCs w:val="17"/>
          <w:lang w:eastAsia="es-CO" w:bidi="ar-SA"/>
        </w:rPr>
        <w:t xml:space="preserve"> </w:t>
      </w:r>
      <w:r w:rsidR="00121FAC" w:rsidRPr="00121FAC">
        <w:rPr>
          <w:rFonts w:ascii="Verdana" w:hAnsi="Verdana"/>
          <w:snapToGrid/>
          <w:color w:val="111111"/>
          <w:sz w:val="17"/>
          <w:szCs w:val="17"/>
          <w:lang w:eastAsia="es-CO" w:bidi="ar-SA"/>
        </w:rPr>
        <w:t xml:space="preserve">[Online] </w:t>
      </w:r>
      <w:r w:rsidR="0012272B" w:rsidRPr="00121FAC">
        <w:rPr>
          <w:rFonts w:ascii="Verdana" w:hAnsi="Verdana"/>
          <w:snapToGrid/>
          <w:color w:val="111111"/>
          <w:sz w:val="17"/>
          <w:szCs w:val="17"/>
          <w:lang w:eastAsia="es-CO" w:bidi="ar-SA"/>
        </w:rPr>
        <w:t xml:space="preserve">Available: </w:t>
      </w:r>
      <w:hyperlink r:id="rId27" w:history="1">
        <w:r w:rsidR="0012272B" w:rsidRPr="00121FAC">
          <w:rPr>
            <w:rFonts w:ascii="Verdana" w:hAnsi="Verdana"/>
            <w:snapToGrid/>
            <w:color w:val="111111"/>
            <w:sz w:val="17"/>
            <w:szCs w:val="17"/>
            <w:lang w:eastAsia="es-CO" w:bidi="ar-SA"/>
          </w:rPr>
          <w:t>http://www.upme.gov.co/Atlas_Hidroenergetico/Atlas_p1-24.pdf</w:t>
        </w:r>
      </w:hyperlink>
      <w:r w:rsidR="00121FAC">
        <w:rPr>
          <w:rFonts w:ascii="Verdana" w:hAnsi="Verdana"/>
          <w:snapToGrid/>
          <w:color w:val="111111"/>
          <w:sz w:val="17"/>
          <w:szCs w:val="17"/>
          <w:lang w:eastAsia="es-CO" w:bidi="ar-SA"/>
        </w:rPr>
        <w:t xml:space="preserve"> </w:t>
      </w:r>
      <w:r w:rsidR="0012272B" w:rsidRPr="00121FAC">
        <w:rPr>
          <w:rFonts w:ascii="Verdana" w:hAnsi="Verdana"/>
          <w:snapToGrid/>
          <w:color w:val="111111"/>
          <w:sz w:val="17"/>
          <w:szCs w:val="17"/>
          <w:lang w:eastAsia="es-CO" w:bidi="ar-SA"/>
        </w:rPr>
        <w:t xml:space="preserve"> (accessed on 7 April 2016).</w:t>
      </w:r>
    </w:p>
    <w:p w:rsidR="005307F4" w:rsidRPr="005307F4" w:rsidRDefault="005C14AF" w:rsidP="005307F4">
      <w:pPr>
        <w:pStyle w:val="MDPI71References"/>
        <w:numPr>
          <w:ilvl w:val="0"/>
          <w:numId w:val="0"/>
        </w:numPr>
        <w:rPr>
          <w:rFonts w:ascii="Verdana" w:hAnsi="Verdana"/>
          <w:snapToGrid/>
          <w:color w:val="111111"/>
          <w:sz w:val="17"/>
          <w:szCs w:val="17"/>
          <w:lang w:eastAsia="es-CO" w:bidi="ar-SA"/>
        </w:rPr>
      </w:pPr>
      <w:r>
        <w:rPr>
          <w:rFonts w:ascii="Verdana" w:hAnsi="Verdana"/>
          <w:snapToGrid/>
          <w:color w:val="111111"/>
          <w:sz w:val="17"/>
          <w:szCs w:val="17"/>
          <w:lang w:eastAsia="es-CO" w:bidi="ar-SA"/>
        </w:rPr>
        <w:t>[12</w:t>
      </w:r>
      <w:r w:rsidR="005307F4" w:rsidRPr="005307F4">
        <w:rPr>
          <w:rFonts w:ascii="Verdana" w:hAnsi="Verdana"/>
          <w:snapToGrid/>
          <w:color w:val="111111"/>
          <w:sz w:val="17"/>
          <w:szCs w:val="17"/>
          <w:lang w:eastAsia="es-CO" w:bidi="ar-SA"/>
        </w:rPr>
        <w:t xml:space="preserve">] I. </w:t>
      </w:r>
      <w:proofErr w:type="spellStart"/>
      <w:r w:rsidR="005307F4" w:rsidRPr="005307F4">
        <w:rPr>
          <w:rFonts w:ascii="Verdana" w:hAnsi="Verdana"/>
          <w:snapToGrid/>
          <w:color w:val="111111"/>
          <w:sz w:val="17"/>
          <w:szCs w:val="17"/>
          <w:lang w:eastAsia="es-CO" w:bidi="ar-SA"/>
        </w:rPr>
        <w:t>Dyner</w:t>
      </w:r>
      <w:proofErr w:type="spellEnd"/>
      <w:r w:rsidR="005307F4" w:rsidRPr="005307F4">
        <w:rPr>
          <w:rFonts w:ascii="Verdana" w:hAnsi="Verdana"/>
          <w:snapToGrid/>
          <w:color w:val="111111"/>
          <w:sz w:val="17"/>
          <w:szCs w:val="17"/>
          <w:lang w:eastAsia="es-CO" w:bidi="ar-SA"/>
        </w:rPr>
        <w:t xml:space="preserve">, Y. </w:t>
      </w:r>
      <w:proofErr w:type="spellStart"/>
      <w:r w:rsidR="005307F4" w:rsidRPr="005307F4">
        <w:rPr>
          <w:rFonts w:ascii="Verdana" w:hAnsi="Verdana"/>
          <w:snapToGrid/>
          <w:color w:val="111111"/>
          <w:sz w:val="17"/>
          <w:szCs w:val="17"/>
          <w:lang w:eastAsia="es-CO" w:bidi="ar-SA"/>
        </w:rPr>
        <w:t>Olaya</w:t>
      </w:r>
      <w:proofErr w:type="spellEnd"/>
      <w:r w:rsidR="005307F4" w:rsidRPr="005307F4">
        <w:rPr>
          <w:rFonts w:ascii="Verdana" w:hAnsi="Verdana"/>
          <w:snapToGrid/>
          <w:color w:val="111111"/>
          <w:sz w:val="17"/>
          <w:szCs w:val="17"/>
          <w:lang w:eastAsia="es-CO" w:bidi="ar-SA"/>
        </w:rPr>
        <w:t xml:space="preserve"> and C.J. Franco, “An enabling framework for wind power in Colombia: what are the lessons from Latin America,” </w:t>
      </w:r>
      <w:r w:rsidR="005307F4">
        <w:rPr>
          <w:rFonts w:ascii="Verdana" w:hAnsi="Verdana"/>
          <w:snapToGrid/>
          <w:color w:val="111111"/>
          <w:sz w:val="17"/>
          <w:szCs w:val="17"/>
          <w:lang w:eastAsia="es-CO" w:bidi="ar-SA"/>
        </w:rPr>
        <w:t>i</w:t>
      </w:r>
      <w:r w:rsidR="005307F4" w:rsidRPr="005307F4">
        <w:rPr>
          <w:rFonts w:ascii="Verdana" w:hAnsi="Verdana"/>
          <w:snapToGrid/>
          <w:color w:val="111111"/>
          <w:sz w:val="17"/>
          <w:szCs w:val="17"/>
          <w:lang w:eastAsia="es-CO" w:bidi="ar-SA"/>
        </w:rPr>
        <w:t xml:space="preserve">n </w:t>
      </w:r>
      <w:r w:rsidR="005307F4" w:rsidRPr="005307F4">
        <w:rPr>
          <w:rFonts w:ascii="Verdana" w:hAnsi="Verdana"/>
          <w:i/>
          <w:snapToGrid/>
          <w:color w:val="111111"/>
          <w:sz w:val="17"/>
          <w:szCs w:val="17"/>
          <w:lang w:eastAsia="es-CO" w:bidi="ar-SA"/>
        </w:rPr>
        <w:t>Diffusion of renewable energy technologies: case studies of enabling frameworks in developing countries</w:t>
      </w:r>
      <w:r w:rsidR="005307F4" w:rsidRPr="005307F4">
        <w:rPr>
          <w:rFonts w:ascii="Verdana" w:hAnsi="Verdana"/>
          <w:snapToGrid/>
          <w:color w:val="111111"/>
          <w:sz w:val="17"/>
          <w:szCs w:val="17"/>
          <w:lang w:eastAsia="es-CO" w:bidi="ar-SA"/>
        </w:rPr>
        <w:t>, 1st ed.; United Nations Development Program (UNDP): Copenhagen, Denmark, 2011; pp. 1–14.</w:t>
      </w:r>
    </w:p>
    <w:p w:rsidR="005307F4" w:rsidRPr="005307F4" w:rsidRDefault="005C14AF" w:rsidP="00154F6D">
      <w:pPr>
        <w:pStyle w:val="MDPI71References"/>
        <w:numPr>
          <w:ilvl w:val="0"/>
          <w:numId w:val="0"/>
        </w:numPr>
        <w:jc w:val="left"/>
        <w:rPr>
          <w:rFonts w:ascii="Verdana" w:hAnsi="Verdana"/>
          <w:snapToGrid/>
          <w:color w:val="111111"/>
          <w:sz w:val="17"/>
          <w:szCs w:val="17"/>
          <w:lang w:eastAsia="es-CO" w:bidi="ar-SA"/>
        </w:rPr>
      </w:pPr>
      <w:r>
        <w:rPr>
          <w:rFonts w:ascii="Verdana" w:hAnsi="Verdana"/>
          <w:snapToGrid/>
          <w:color w:val="111111"/>
          <w:sz w:val="17"/>
          <w:szCs w:val="17"/>
          <w:lang w:val="es-CO" w:eastAsia="es-CO" w:bidi="ar-SA"/>
        </w:rPr>
        <w:t>[13</w:t>
      </w:r>
      <w:r w:rsidR="005307F4" w:rsidRPr="00154F6D">
        <w:rPr>
          <w:rFonts w:ascii="Verdana" w:hAnsi="Verdana"/>
          <w:snapToGrid/>
          <w:color w:val="111111"/>
          <w:sz w:val="17"/>
          <w:szCs w:val="17"/>
          <w:lang w:val="es-CO" w:eastAsia="es-CO" w:bidi="ar-SA"/>
        </w:rPr>
        <w:t>] CORPOEMA. Formulación de un plan de desarrollo para las fuentes no convenc</w:t>
      </w:r>
      <w:r w:rsidR="00154F6D" w:rsidRPr="00154F6D">
        <w:rPr>
          <w:rFonts w:ascii="Verdana" w:hAnsi="Verdana"/>
          <w:snapToGrid/>
          <w:color w:val="111111"/>
          <w:sz w:val="17"/>
          <w:szCs w:val="17"/>
          <w:lang w:val="es-CO" w:eastAsia="es-CO" w:bidi="ar-SA"/>
        </w:rPr>
        <w:t xml:space="preserve">ionales de energía en Colombia. </w:t>
      </w:r>
      <w:r w:rsidR="005307F4" w:rsidRPr="00154F6D">
        <w:rPr>
          <w:rFonts w:ascii="Verdana" w:hAnsi="Verdana"/>
          <w:snapToGrid/>
          <w:color w:val="111111"/>
          <w:sz w:val="17"/>
          <w:szCs w:val="17"/>
          <w:lang w:val="es-CO" w:eastAsia="es-CO" w:bidi="ar-SA"/>
        </w:rPr>
        <w:t>Unidad de Planeación Minero Energética (UPME), Colombia, Vol</w:t>
      </w:r>
      <w:r w:rsidR="00154F6D" w:rsidRPr="00154F6D">
        <w:rPr>
          <w:rFonts w:ascii="Verdana" w:hAnsi="Verdana"/>
          <w:snapToGrid/>
          <w:color w:val="111111"/>
          <w:sz w:val="17"/>
          <w:szCs w:val="17"/>
          <w:lang w:val="es-CO" w:eastAsia="es-CO" w:bidi="ar-SA"/>
        </w:rPr>
        <w:t>.</w:t>
      </w:r>
      <w:r w:rsidR="005307F4" w:rsidRPr="00154F6D">
        <w:rPr>
          <w:rFonts w:ascii="Verdana" w:hAnsi="Verdana"/>
          <w:snapToGrid/>
          <w:color w:val="111111"/>
          <w:sz w:val="17"/>
          <w:szCs w:val="17"/>
          <w:lang w:val="es-CO" w:eastAsia="es-CO" w:bidi="ar-SA"/>
        </w:rPr>
        <w:t xml:space="preserve">2. pp. 137-152 (in </w:t>
      </w:r>
      <w:proofErr w:type="spellStart"/>
      <w:r w:rsidR="005307F4" w:rsidRPr="00154F6D">
        <w:rPr>
          <w:rFonts w:ascii="Verdana" w:hAnsi="Verdana"/>
          <w:snapToGrid/>
          <w:color w:val="111111"/>
          <w:sz w:val="17"/>
          <w:szCs w:val="17"/>
          <w:lang w:val="es-CO" w:eastAsia="es-CO" w:bidi="ar-SA"/>
        </w:rPr>
        <w:t>Spanish</w:t>
      </w:r>
      <w:proofErr w:type="spellEnd"/>
      <w:r w:rsidR="005307F4" w:rsidRPr="00154F6D">
        <w:rPr>
          <w:rFonts w:ascii="Verdana" w:hAnsi="Verdana"/>
          <w:snapToGrid/>
          <w:color w:val="111111"/>
          <w:sz w:val="17"/>
          <w:szCs w:val="17"/>
          <w:lang w:val="es-CO" w:eastAsia="es-CO" w:bidi="ar-SA"/>
        </w:rPr>
        <w:t>).</w:t>
      </w:r>
      <w:r w:rsidR="00154F6D">
        <w:rPr>
          <w:rFonts w:ascii="Verdana" w:hAnsi="Verdana"/>
          <w:snapToGrid/>
          <w:color w:val="111111"/>
          <w:sz w:val="17"/>
          <w:szCs w:val="17"/>
          <w:lang w:val="es-CO" w:eastAsia="es-CO" w:bidi="ar-SA"/>
        </w:rPr>
        <w:t xml:space="preserve"> </w:t>
      </w:r>
      <w:r w:rsidR="00154F6D" w:rsidRPr="00375BE8">
        <w:rPr>
          <w:rFonts w:ascii="Verdana" w:hAnsi="Verdana"/>
          <w:snapToGrid/>
          <w:color w:val="111111"/>
          <w:sz w:val="17"/>
          <w:szCs w:val="17"/>
          <w:lang w:eastAsia="es-CO" w:bidi="ar-SA"/>
        </w:rPr>
        <w:t>2010; [Online</w:t>
      </w:r>
      <w:proofErr w:type="gramStart"/>
      <w:r w:rsidR="00154F6D" w:rsidRPr="00375BE8">
        <w:rPr>
          <w:rFonts w:ascii="Verdana" w:hAnsi="Verdana"/>
          <w:snapToGrid/>
          <w:color w:val="111111"/>
          <w:sz w:val="17"/>
          <w:szCs w:val="17"/>
          <w:lang w:eastAsia="es-CO" w:bidi="ar-SA"/>
        </w:rPr>
        <w:t xml:space="preserve">] </w:t>
      </w:r>
      <w:r w:rsidR="005307F4" w:rsidRPr="00375BE8">
        <w:rPr>
          <w:rFonts w:ascii="Verdana" w:hAnsi="Verdana"/>
          <w:snapToGrid/>
          <w:color w:val="111111"/>
          <w:sz w:val="17"/>
          <w:szCs w:val="17"/>
          <w:lang w:eastAsia="es-CO" w:bidi="ar-SA"/>
        </w:rPr>
        <w:t xml:space="preserve"> Available</w:t>
      </w:r>
      <w:proofErr w:type="gramEnd"/>
      <w:r w:rsidR="005307F4" w:rsidRPr="00375BE8">
        <w:rPr>
          <w:rFonts w:ascii="Verdana" w:hAnsi="Verdana"/>
          <w:snapToGrid/>
          <w:color w:val="111111"/>
          <w:sz w:val="17"/>
          <w:szCs w:val="17"/>
          <w:lang w:eastAsia="es-CO" w:bidi="ar-SA"/>
        </w:rPr>
        <w:t>: http://www</w:t>
      </w:r>
      <w:r w:rsidR="005307F4" w:rsidRPr="005307F4">
        <w:rPr>
          <w:rFonts w:ascii="Verdana" w:hAnsi="Verdana"/>
          <w:snapToGrid/>
          <w:color w:val="111111"/>
          <w:sz w:val="17"/>
          <w:szCs w:val="17"/>
          <w:lang w:eastAsia="es-CO" w:bidi="ar-SA"/>
        </w:rPr>
        <w:t>.upme.gov.co/Sigic/DocumentosF/Vol_1_Plan_Desarrollo.pdf (accessed on 15 April 2016).</w:t>
      </w:r>
    </w:p>
    <w:p w:rsidR="005307F4" w:rsidRPr="00154F6D" w:rsidRDefault="005C14AF" w:rsidP="00154F6D">
      <w:pPr>
        <w:pStyle w:val="MDPI71References"/>
        <w:numPr>
          <w:ilvl w:val="0"/>
          <w:numId w:val="0"/>
        </w:numPr>
        <w:jc w:val="left"/>
        <w:rPr>
          <w:rFonts w:ascii="Verdana" w:hAnsi="Verdana"/>
          <w:snapToGrid/>
          <w:color w:val="111111"/>
          <w:sz w:val="17"/>
          <w:szCs w:val="17"/>
          <w:lang w:eastAsia="es-CO" w:bidi="ar-SA"/>
        </w:rPr>
      </w:pPr>
      <w:r>
        <w:rPr>
          <w:rFonts w:ascii="Verdana" w:hAnsi="Verdana"/>
          <w:snapToGrid/>
          <w:color w:val="111111"/>
          <w:sz w:val="17"/>
          <w:szCs w:val="17"/>
          <w:lang w:eastAsia="es-CO" w:bidi="ar-SA"/>
        </w:rPr>
        <w:t>[14</w:t>
      </w:r>
      <w:r w:rsidR="00154F6D" w:rsidRPr="00154F6D">
        <w:rPr>
          <w:rFonts w:ascii="Verdana" w:hAnsi="Verdana"/>
          <w:snapToGrid/>
          <w:color w:val="111111"/>
          <w:sz w:val="17"/>
          <w:szCs w:val="17"/>
          <w:lang w:eastAsia="es-CO" w:bidi="ar-SA"/>
        </w:rPr>
        <w:t xml:space="preserve">] C.J. </w:t>
      </w:r>
      <w:r w:rsidR="005307F4" w:rsidRPr="00154F6D">
        <w:rPr>
          <w:rFonts w:ascii="Verdana" w:hAnsi="Verdana"/>
          <w:snapToGrid/>
          <w:color w:val="111111"/>
          <w:sz w:val="17"/>
          <w:szCs w:val="17"/>
          <w:lang w:eastAsia="es-CO" w:bidi="ar-SA"/>
        </w:rPr>
        <w:t xml:space="preserve">James, </w:t>
      </w:r>
      <w:r w:rsidR="00154F6D" w:rsidRPr="00154F6D">
        <w:rPr>
          <w:rFonts w:ascii="Verdana" w:hAnsi="Verdana"/>
          <w:snapToGrid/>
          <w:color w:val="111111"/>
          <w:sz w:val="17"/>
          <w:szCs w:val="17"/>
          <w:lang w:eastAsia="es-CO" w:bidi="ar-SA"/>
        </w:rPr>
        <w:t>“</w:t>
      </w:r>
      <w:r w:rsidR="005307F4" w:rsidRPr="00154F6D">
        <w:rPr>
          <w:rFonts w:ascii="Verdana" w:hAnsi="Verdana"/>
          <w:snapToGrid/>
          <w:color w:val="111111"/>
          <w:sz w:val="17"/>
          <w:szCs w:val="17"/>
          <w:lang w:eastAsia="es-CO" w:bidi="ar-SA"/>
        </w:rPr>
        <w:t>What Colombia needs to jumpstart renewable energy investment</w:t>
      </w:r>
      <w:r w:rsidR="00154F6D" w:rsidRPr="00154F6D">
        <w:rPr>
          <w:rFonts w:ascii="Verdana" w:hAnsi="Verdana"/>
          <w:snapToGrid/>
          <w:color w:val="111111"/>
          <w:sz w:val="17"/>
          <w:szCs w:val="17"/>
          <w:lang w:eastAsia="es-CO" w:bidi="ar-SA"/>
        </w:rPr>
        <w:t>,” in</w:t>
      </w:r>
      <w:r w:rsidR="005307F4" w:rsidRPr="00154F6D">
        <w:rPr>
          <w:rFonts w:ascii="Verdana" w:hAnsi="Verdana"/>
          <w:snapToGrid/>
          <w:color w:val="111111"/>
          <w:sz w:val="17"/>
          <w:szCs w:val="17"/>
          <w:lang w:eastAsia="es-CO" w:bidi="ar-SA"/>
        </w:rPr>
        <w:t xml:space="preserve"> </w:t>
      </w:r>
      <w:r w:rsidR="005307F4" w:rsidRPr="00154F6D">
        <w:rPr>
          <w:rFonts w:ascii="Verdana" w:hAnsi="Verdana"/>
          <w:i/>
          <w:snapToGrid/>
          <w:color w:val="111111"/>
          <w:sz w:val="17"/>
          <w:szCs w:val="17"/>
          <w:lang w:eastAsia="es-CO" w:bidi="ar-SA"/>
        </w:rPr>
        <w:t>Latin American Energy Review</w:t>
      </w:r>
      <w:r w:rsidR="005307F4" w:rsidRPr="00154F6D">
        <w:rPr>
          <w:rFonts w:ascii="Verdana" w:hAnsi="Verdana"/>
          <w:snapToGrid/>
          <w:color w:val="111111"/>
          <w:sz w:val="17"/>
          <w:szCs w:val="17"/>
          <w:lang w:eastAsia="es-CO" w:bidi="ar-SA"/>
        </w:rPr>
        <w:t xml:space="preserve">. 2016. </w:t>
      </w:r>
      <w:r w:rsidR="00154F6D">
        <w:rPr>
          <w:rFonts w:ascii="Verdana" w:hAnsi="Verdana"/>
          <w:snapToGrid/>
          <w:color w:val="111111"/>
          <w:sz w:val="17"/>
          <w:szCs w:val="17"/>
          <w:lang w:eastAsia="es-CO" w:bidi="ar-SA"/>
        </w:rPr>
        <w:t>[Online</w:t>
      </w:r>
      <w:proofErr w:type="gramStart"/>
      <w:r w:rsidR="00154F6D">
        <w:rPr>
          <w:rFonts w:ascii="Verdana" w:hAnsi="Verdana"/>
          <w:snapToGrid/>
          <w:color w:val="111111"/>
          <w:sz w:val="17"/>
          <w:szCs w:val="17"/>
          <w:lang w:eastAsia="es-CO" w:bidi="ar-SA"/>
        </w:rPr>
        <w:t>]Available</w:t>
      </w:r>
      <w:proofErr w:type="gramEnd"/>
      <w:r w:rsidR="00154F6D">
        <w:rPr>
          <w:rFonts w:ascii="Verdana" w:hAnsi="Verdana"/>
          <w:snapToGrid/>
          <w:color w:val="111111"/>
          <w:sz w:val="17"/>
          <w:szCs w:val="17"/>
          <w:lang w:eastAsia="es-CO" w:bidi="ar-SA"/>
        </w:rPr>
        <w:t xml:space="preserve">: </w:t>
      </w:r>
      <w:r w:rsidR="005307F4" w:rsidRPr="00154F6D">
        <w:rPr>
          <w:rFonts w:ascii="Verdana" w:hAnsi="Verdana"/>
          <w:snapToGrid/>
          <w:color w:val="111111"/>
          <w:sz w:val="17"/>
          <w:szCs w:val="17"/>
          <w:lang w:eastAsia="es-CO" w:bidi="ar-SA"/>
        </w:rPr>
        <w:t>http://carlosstjames.com/renewable-energy/what-colombia-needs-to-jumpstart-renewable-energy-investment (accessed on 24 May 2016).</w:t>
      </w:r>
    </w:p>
    <w:p w:rsidR="005307F4" w:rsidRDefault="005C14AF" w:rsidP="00154F6D">
      <w:pPr>
        <w:pStyle w:val="MDPI71References"/>
        <w:numPr>
          <w:ilvl w:val="0"/>
          <w:numId w:val="0"/>
        </w:numPr>
        <w:jc w:val="left"/>
        <w:rPr>
          <w:rFonts w:ascii="Verdana" w:hAnsi="Verdana"/>
          <w:snapToGrid/>
          <w:color w:val="111111"/>
          <w:sz w:val="17"/>
          <w:szCs w:val="17"/>
          <w:lang w:eastAsia="es-CO" w:bidi="ar-SA"/>
        </w:rPr>
      </w:pPr>
      <w:r>
        <w:rPr>
          <w:rFonts w:ascii="Verdana" w:hAnsi="Verdana"/>
          <w:snapToGrid/>
          <w:color w:val="111111"/>
          <w:sz w:val="17"/>
          <w:szCs w:val="17"/>
          <w:lang w:val="es-ES" w:eastAsia="es-CO" w:bidi="ar-SA"/>
        </w:rPr>
        <w:lastRenderedPageBreak/>
        <w:t>[15</w:t>
      </w:r>
      <w:r w:rsidR="00154F6D" w:rsidRPr="00375BE8">
        <w:rPr>
          <w:rFonts w:ascii="Verdana" w:hAnsi="Verdana"/>
          <w:snapToGrid/>
          <w:color w:val="111111"/>
          <w:sz w:val="17"/>
          <w:szCs w:val="17"/>
          <w:lang w:val="es-ES" w:eastAsia="es-CO" w:bidi="ar-SA"/>
        </w:rPr>
        <w:t xml:space="preserve">] H. </w:t>
      </w:r>
      <w:r w:rsidR="005307F4" w:rsidRPr="00375BE8">
        <w:rPr>
          <w:rFonts w:ascii="Verdana" w:hAnsi="Verdana"/>
          <w:snapToGrid/>
          <w:color w:val="111111"/>
          <w:sz w:val="17"/>
          <w:szCs w:val="17"/>
          <w:lang w:val="es-ES" w:eastAsia="es-CO" w:bidi="ar-SA"/>
        </w:rPr>
        <w:t xml:space="preserve">García, </w:t>
      </w:r>
      <w:r w:rsidR="00154F6D" w:rsidRPr="00375BE8">
        <w:rPr>
          <w:rFonts w:ascii="Verdana" w:hAnsi="Verdana"/>
          <w:snapToGrid/>
          <w:color w:val="111111"/>
          <w:sz w:val="17"/>
          <w:szCs w:val="17"/>
          <w:lang w:val="es-ES" w:eastAsia="es-CO" w:bidi="ar-SA"/>
        </w:rPr>
        <w:t xml:space="preserve">A. </w:t>
      </w:r>
      <w:r w:rsidR="005307F4" w:rsidRPr="00375BE8">
        <w:rPr>
          <w:rFonts w:ascii="Verdana" w:hAnsi="Verdana"/>
          <w:snapToGrid/>
          <w:color w:val="111111"/>
          <w:sz w:val="17"/>
          <w:szCs w:val="17"/>
          <w:lang w:val="es-ES" w:eastAsia="es-CO" w:bidi="ar-SA"/>
        </w:rPr>
        <w:t xml:space="preserve">Corredor, </w:t>
      </w:r>
      <w:r w:rsidR="00154F6D" w:rsidRPr="00375BE8">
        <w:rPr>
          <w:rFonts w:ascii="Verdana" w:hAnsi="Verdana"/>
          <w:snapToGrid/>
          <w:color w:val="111111"/>
          <w:sz w:val="17"/>
          <w:szCs w:val="17"/>
          <w:lang w:val="es-ES" w:eastAsia="es-CO" w:bidi="ar-SA"/>
        </w:rPr>
        <w:t>L.</w:t>
      </w:r>
      <w:r w:rsidR="005307F4" w:rsidRPr="00375BE8">
        <w:rPr>
          <w:rFonts w:ascii="Verdana" w:hAnsi="Verdana"/>
          <w:snapToGrid/>
          <w:color w:val="111111"/>
          <w:sz w:val="17"/>
          <w:szCs w:val="17"/>
          <w:lang w:val="es-ES" w:eastAsia="es-CO" w:bidi="ar-SA"/>
        </w:rPr>
        <w:t xml:space="preserve"> Calderón, </w:t>
      </w:r>
      <w:r w:rsidR="00154F6D" w:rsidRPr="00375BE8">
        <w:rPr>
          <w:rFonts w:ascii="Verdana" w:hAnsi="Verdana"/>
          <w:snapToGrid/>
          <w:color w:val="111111"/>
          <w:sz w:val="17"/>
          <w:szCs w:val="17"/>
          <w:lang w:val="es-ES" w:eastAsia="es-CO" w:bidi="ar-SA"/>
        </w:rPr>
        <w:t>and M.</w:t>
      </w:r>
      <w:r w:rsidR="005307F4" w:rsidRPr="00375BE8">
        <w:rPr>
          <w:rFonts w:ascii="Verdana" w:hAnsi="Verdana"/>
          <w:snapToGrid/>
          <w:color w:val="111111"/>
          <w:sz w:val="17"/>
          <w:szCs w:val="17"/>
          <w:lang w:val="es-ES" w:eastAsia="es-CO" w:bidi="ar-SA"/>
        </w:rPr>
        <w:t xml:space="preserve"> Gómez, </w:t>
      </w:r>
      <w:r w:rsidR="00154F6D" w:rsidRPr="00375BE8">
        <w:rPr>
          <w:rFonts w:ascii="Verdana" w:hAnsi="Verdana"/>
          <w:snapToGrid/>
          <w:color w:val="111111"/>
          <w:sz w:val="17"/>
          <w:szCs w:val="17"/>
          <w:lang w:val="es-ES" w:eastAsia="es-CO" w:bidi="ar-SA"/>
        </w:rPr>
        <w:t>“</w:t>
      </w:r>
      <w:r w:rsidR="005307F4" w:rsidRPr="00375BE8">
        <w:rPr>
          <w:rFonts w:ascii="Verdana" w:hAnsi="Verdana"/>
          <w:snapToGrid/>
          <w:color w:val="111111"/>
          <w:sz w:val="17"/>
          <w:szCs w:val="17"/>
          <w:lang w:val="es-ES" w:eastAsia="es-CO" w:bidi="ar-SA"/>
        </w:rPr>
        <w:t>Análisis costo beneficio de energías renovables no convencionales</w:t>
      </w:r>
      <w:r w:rsidR="00154F6D" w:rsidRPr="00375BE8">
        <w:rPr>
          <w:rFonts w:ascii="Verdana" w:hAnsi="Verdana"/>
          <w:snapToGrid/>
          <w:color w:val="111111"/>
          <w:sz w:val="17"/>
          <w:szCs w:val="17"/>
          <w:lang w:val="es-ES" w:eastAsia="es-CO" w:bidi="ar-SA"/>
        </w:rPr>
        <w:t>”</w:t>
      </w:r>
      <w:r w:rsidR="005307F4" w:rsidRPr="00375BE8">
        <w:rPr>
          <w:rFonts w:ascii="Verdana" w:hAnsi="Verdana"/>
          <w:snapToGrid/>
          <w:color w:val="111111"/>
          <w:sz w:val="17"/>
          <w:szCs w:val="17"/>
          <w:lang w:val="es-ES" w:eastAsia="es-CO" w:bidi="ar-SA"/>
        </w:rPr>
        <w:t xml:space="preserve">. </w:t>
      </w:r>
      <w:proofErr w:type="gramStart"/>
      <w:r w:rsidR="00154F6D" w:rsidRPr="00154F6D">
        <w:rPr>
          <w:rFonts w:ascii="Verdana" w:hAnsi="Verdana"/>
          <w:snapToGrid/>
          <w:color w:val="111111"/>
          <w:sz w:val="17"/>
          <w:szCs w:val="17"/>
          <w:lang w:eastAsia="es-CO" w:bidi="ar-SA"/>
        </w:rPr>
        <w:t xml:space="preserve">In </w:t>
      </w:r>
      <w:r w:rsidR="005307F4" w:rsidRPr="00154F6D">
        <w:rPr>
          <w:rFonts w:ascii="Verdana" w:hAnsi="Verdana"/>
          <w:i/>
          <w:snapToGrid/>
          <w:color w:val="111111"/>
          <w:sz w:val="17"/>
          <w:szCs w:val="17"/>
          <w:lang w:eastAsia="es-CO" w:bidi="ar-SA"/>
        </w:rPr>
        <w:t>FEDESARROLLO, Colombia</w:t>
      </w:r>
      <w:r w:rsidR="005307F4" w:rsidRPr="00154F6D">
        <w:rPr>
          <w:rFonts w:ascii="Verdana" w:hAnsi="Verdana"/>
          <w:snapToGrid/>
          <w:color w:val="111111"/>
          <w:sz w:val="17"/>
          <w:szCs w:val="17"/>
          <w:lang w:eastAsia="es-CO" w:bidi="ar-SA"/>
        </w:rPr>
        <w:t>, 2013; pp. 8-15 (in Spanish).</w:t>
      </w:r>
      <w:proofErr w:type="gramEnd"/>
      <w:r w:rsidR="005307F4" w:rsidRPr="00154F6D">
        <w:rPr>
          <w:rFonts w:ascii="Verdana" w:hAnsi="Verdana"/>
          <w:snapToGrid/>
          <w:color w:val="111111"/>
          <w:sz w:val="17"/>
          <w:szCs w:val="17"/>
          <w:lang w:eastAsia="es-CO" w:bidi="ar-SA"/>
        </w:rPr>
        <w:t xml:space="preserve"> </w:t>
      </w:r>
      <w:r w:rsidR="00154F6D" w:rsidRPr="00154F6D">
        <w:rPr>
          <w:rFonts w:ascii="Verdana" w:hAnsi="Verdana"/>
          <w:snapToGrid/>
          <w:color w:val="111111"/>
          <w:sz w:val="17"/>
          <w:szCs w:val="17"/>
          <w:lang w:eastAsia="es-CO" w:bidi="ar-SA"/>
        </w:rPr>
        <w:t xml:space="preserve"> [Online] </w:t>
      </w:r>
      <w:r w:rsidR="005307F4" w:rsidRPr="00154F6D">
        <w:rPr>
          <w:rFonts w:ascii="Verdana" w:hAnsi="Verdana"/>
          <w:snapToGrid/>
          <w:color w:val="111111"/>
          <w:sz w:val="17"/>
          <w:szCs w:val="17"/>
          <w:lang w:eastAsia="es-CO" w:bidi="ar-SA"/>
        </w:rPr>
        <w:t xml:space="preserve">Available: </w:t>
      </w:r>
      <w:hyperlink r:id="rId28" w:history="1">
        <w:r w:rsidR="005307F4" w:rsidRPr="00154F6D">
          <w:rPr>
            <w:rFonts w:ascii="Verdana" w:hAnsi="Verdana"/>
            <w:snapToGrid/>
            <w:color w:val="111111"/>
            <w:sz w:val="17"/>
            <w:szCs w:val="17"/>
            <w:lang w:eastAsia="es-CO" w:bidi="ar-SA"/>
          </w:rPr>
          <w:t>http://www.fedesarrollo.org.co/wp-content/uploads/2011/08/WWF_Analisis-costo-beneficio-energias-renovables-no-convencionales-en-Colombia.pdf</w:t>
        </w:r>
      </w:hyperlink>
      <w:r w:rsidR="005307F4" w:rsidRPr="00154F6D">
        <w:rPr>
          <w:rFonts w:ascii="Verdana" w:hAnsi="Verdana"/>
          <w:snapToGrid/>
          <w:color w:val="111111"/>
          <w:sz w:val="17"/>
          <w:szCs w:val="17"/>
          <w:lang w:eastAsia="es-CO" w:bidi="ar-SA"/>
        </w:rPr>
        <w:t xml:space="preserve"> (accessed on 27 May 2016).</w:t>
      </w:r>
    </w:p>
    <w:p w:rsidR="00154F6D" w:rsidRPr="00635E83" w:rsidRDefault="005C14AF" w:rsidP="00154F6D">
      <w:pPr>
        <w:pStyle w:val="MDPI71References"/>
        <w:numPr>
          <w:ilvl w:val="0"/>
          <w:numId w:val="0"/>
        </w:numPr>
        <w:rPr>
          <w:rFonts w:ascii="Verdana" w:hAnsi="Verdana"/>
          <w:snapToGrid/>
          <w:color w:val="111111"/>
          <w:sz w:val="17"/>
          <w:szCs w:val="17"/>
          <w:lang w:val="es-ES" w:eastAsia="es-CO" w:bidi="ar-SA"/>
        </w:rPr>
      </w:pPr>
      <w:r>
        <w:t>[16</w:t>
      </w:r>
      <w:r w:rsidR="00154F6D">
        <w:t xml:space="preserve">] </w:t>
      </w:r>
      <w:r w:rsidR="00154F6D" w:rsidRPr="001C1D47">
        <w:rPr>
          <w:rFonts w:ascii="Verdana" w:hAnsi="Verdana"/>
          <w:snapToGrid/>
          <w:color w:val="111111"/>
          <w:sz w:val="17"/>
          <w:szCs w:val="17"/>
          <w:lang w:eastAsia="es-CO" w:bidi="ar-SA"/>
        </w:rPr>
        <w:t xml:space="preserve">J. F. </w:t>
      </w:r>
      <w:r w:rsidR="001C1D47" w:rsidRPr="001C1D47">
        <w:rPr>
          <w:rFonts w:ascii="Verdana" w:hAnsi="Verdana"/>
          <w:snapToGrid/>
          <w:color w:val="111111"/>
          <w:sz w:val="17"/>
          <w:szCs w:val="17"/>
          <w:lang w:eastAsia="es-CO" w:bidi="ar-SA"/>
        </w:rPr>
        <w:t>Pérez and L.F.</w:t>
      </w:r>
      <w:r w:rsidR="00154F6D" w:rsidRPr="001C1D47">
        <w:rPr>
          <w:rFonts w:ascii="Verdana" w:hAnsi="Verdana"/>
          <w:snapToGrid/>
          <w:color w:val="111111"/>
          <w:sz w:val="17"/>
          <w:szCs w:val="17"/>
          <w:lang w:eastAsia="es-CO" w:bidi="ar-SA"/>
        </w:rPr>
        <w:t xml:space="preserve"> Osorio, </w:t>
      </w:r>
      <w:r w:rsidR="00154F6D" w:rsidRPr="001C1D47">
        <w:rPr>
          <w:rFonts w:ascii="Verdana" w:hAnsi="Verdana"/>
          <w:i/>
          <w:snapToGrid/>
          <w:color w:val="111111"/>
          <w:sz w:val="17"/>
          <w:szCs w:val="17"/>
          <w:lang w:eastAsia="es-CO" w:bidi="ar-SA"/>
        </w:rPr>
        <w:t>Forest biomass as an energy alternative</w:t>
      </w:r>
      <w:proofErr w:type="gramStart"/>
      <w:r w:rsidR="00154F6D" w:rsidRPr="001C1D47">
        <w:rPr>
          <w:rFonts w:ascii="Verdana" w:hAnsi="Verdana"/>
          <w:snapToGrid/>
          <w:color w:val="111111"/>
          <w:sz w:val="17"/>
          <w:szCs w:val="17"/>
          <w:lang w:eastAsia="es-CO" w:bidi="ar-SA"/>
        </w:rPr>
        <w:t xml:space="preserve">, </w:t>
      </w:r>
      <w:r w:rsidR="001C1D47" w:rsidRPr="001C1D47">
        <w:rPr>
          <w:rFonts w:ascii="Verdana" w:hAnsi="Verdana"/>
          <w:snapToGrid/>
          <w:color w:val="111111"/>
          <w:sz w:val="17"/>
          <w:szCs w:val="17"/>
          <w:lang w:eastAsia="es-CO" w:bidi="ar-SA"/>
        </w:rPr>
        <w:t xml:space="preserve"> </w:t>
      </w:r>
      <w:r w:rsidR="00154F6D" w:rsidRPr="001C1D47">
        <w:rPr>
          <w:rFonts w:ascii="Verdana" w:hAnsi="Verdana"/>
          <w:snapToGrid/>
          <w:color w:val="111111"/>
          <w:sz w:val="17"/>
          <w:szCs w:val="17"/>
          <w:lang w:eastAsia="es-CO" w:bidi="ar-SA"/>
        </w:rPr>
        <w:t>1st</w:t>
      </w:r>
      <w:proofErr w:type="gramEnd"/>
      <w:r w:rsidR="00154F6D" w:rsidRPr="001C1D47">
        <w:rPr>
          <w:rFonts w:ascii="Verdana" w:hAnsi="Verdana"/>
          <w:snapToGrid/>
          <w:color w:val="111111"/>
          <w:sz w:val="17"/>
          <w:szCs w:val="17"/>
          <w:lang w:eastAsia="es-CO" w:bidi="ar-SA"/>
        </w:rPr>
        <w:t xml:space="preserve"> ed.</w:t>
      </w:r>
      <w:r w:rsidR="001C1D47">
        <w:rPr>
          <w:rFonts w:ascii="Verdana" w:hAnsi="Verdana"/>
          <w:snapToGrid/>
          <w:color w:val="111111"/>
          <w:sz w:val="17"/>
          <w:szCs w:val="17"/>
          <w:lang w:eastAsia="es-CO" w:bidi="ar-SA"/>
        </w:rPr>
        <w:t xml:space="preserve"> </w:t>
      </w:r>
      <w:r w:rsidR="00154F6D" w:rsidRPr="00635E83">
        <w:rPr>
          <w:rFonts w:ascii="Verdana" w:hAnsi="Verdana"/>
          <w:snapToGrid/>
          <w:color w:val="111111"/>
          <w:sz w:val="17"/>
          <w:szCs w:val="17"/>
          <w:lang w:val="es-ES" w:eastAsia="es-CO" w:bidi="ar-SA"/>
        </w:rPr>
        <w:t xml:space="preserve">Universidad de Antioquia: </w:t>
      </w:r>
      <w:proofErr w:type="spellStart"/>
      <w:r w:rsidR="00154F6D" w:rsidRPr="00635E83">
        <w:rPr>
          <w:rFonts w:ascii="Verdana" w:hAnsi="Verdana"/>
          <w:snapToGrid/>
          <w:color w:val="111111"/>
          <w:sz w:val="17"/>
          <w:szCs w:val="17"/>
          <w:lang w:val="es-ES" w:eastAsia="es-CO" w:bidi="ar-SA"/>
        </w:rPr>
        <w:t>Medellin</w:t>
      </w:r>
      <w:proofErr w:type="spellEnd"/>
      <w:r w:rsidR="00154F6D" w:rsidRPr="00635E83">
        <w:rPr>
          <w:rFonts w:ascii="Verdana" w:hAnsi="Verdana"/>
          <w:snapToGrid/>
          <w:color w:val="111111"/>
          <w:sz w:val="17"/>
          <w:szCs w:val="17"/>
          <w:lang w:val="es-ES" w:eastAsia="es-CO" w:bidi="ar-SA"/>
        </w:rPr>
        <w:t>, Colombia, 2014; pp. 2–20. (</w:t>
      </w:r>
      <w:proofErr w:type="gramStart"/>
      <w:r w:rsidR="00154F6D" w:rsidRPr="00635E83">
        <w:rPr>
          <w:rFonts w:ascii="Verdana" w:hAnsi="Verdana"/>
          <w:snapToGrid/>
          <w:color w:val="111111"/>
          <w:sz w:val="17"/>
          <w:szCs w:val="17"/>
          <w:lang w:val="es-ES" w:eastAsia="es-CO" w:bidi="ar-SA"/>
        </w:rPr>
        <w:t>in</w:t>
      </w:r>
      <w:proofErr w:type="gramEnd"/>
      <w:r w:rsidR="00154F6D" w:rsidRPr="00635E83">
        <w:rPr>
          <w:rFonts w:ascii="Verdana" w:hAnsi="Verdana"/>
          <w:snapToGrid/>
          <w:color w:val="111111"/>
          <w:sz w:val="17"/>
          <w:szCs w:val="17"/>
          <w:lang w:val="es-ES" w:eastAsia="es-CO" w:bidi="ar-SA"/>
        </w:rPr>
        <w:t xml:space="preserve"> </w:t>
      </w:r>
      <w:proofErr w:type="spellStart"/>
      <w:r w:rsidR="00154F6D" w:rsidRPr="00635E83">
        <w:rPr>
          <w:rFonts w:ascii="Verdana" w:hAnsi="Verdana"/>
          <w:snapToGrid/>
          <w:color w:val="111111"/>
          <w:sz w:val="17"/>
          <w:szCs w:val="17"/>
          <w:lang w:val="es-ES" w:eastAsia="es-CO" w:bidi="ar-SA"/>
        </w:rPr>
        <w:t>Spanish</w:t>
      </w:r>
      <w:proofErr w:type="spellEnd"/>
      <w:r w:rsidR="00154F6D" w:rsidRPr="00635E83">
        <w:rPr>
          <w:rFonts w:ascii="Verdana" w:hAnsi="Verdana"/>
          <w:snapToGrid/>
          <w:color w:val="111111"/>
          <w:sz w:val="17"/>
          <w:szCs w:val="17"/>
          <w:lang w:val="es-ES" w:eastAsia="es-CO" w:bidi="ar-SA"/>
        </w:rPr>
        <w:t>).</w:t>
      </w:r>
    </w:p>
    <w:p w:rsidR="005C14AF" w:rsidRPr="005C14AF" w:rsidRDefault="005C14AF" w:rsidP="00154F6D">
      <w:pPr>
        <w:pStyle w:val="MDPI71References"/>
        <w:numPr>
          <w:ilvl w:val="0"/>
          <w:numId w:val="0"/>
        </w:numPr>
        <w:rPr>
          <w:rFonts w:ascii="Verdana" w:hAnsi="Verdana"/>
          <w:i/>
          <w:snapToGrid/>
          <w:color w:val="111111"/>
          <w:sz w:val="17"/>
          <w:szCs w:val="17"/>
          <w:lang w:eastAsia="es-CO" w:bidi="ar-SA"/>
        </w:rPr>
      </w:pPr>
      <w:r w:rsidRPr="005C14AF">
        <w:rPr>
          <w:rFonts w:ascii="Verdana" w:hAnsi="Verdana"/>
          <w:snapToGrid/>
          <w:color w:val="111111"/>
          <w:sz w:val="17"/>
          <w:szCs w:val="17"/>
          <w:lang w:val="es-CO" w:eastAsia="es-CO" w:bidi="ar-SA"/>
        </w:rPr>
        <w:t xml:space="preserve">[17] Ley 1715/2014, de mayo 13, por medio de </w:t>
      </w:r>
      <w:r>
        <w:rPr>
          <w:rFonts w:ascii="Verdana" w:hAnsi="Verdana"/>
          <w:snapToGrid/>
          <w:color w:val="111111"/>
          <w:sz w:val="17"/>
          <w:szCs w:val="17"/>
          <w:lang w:val="es-CO" w:eastAsia="es-CO" w:bidi="ar-SA"/>
        </w:rPr>
        <w:t xml:space="preserve">la cual se regula la integración de las energías renovables no convencionales al Sistema Energético Nacional. </w:t>
      </w:r>
      <w:proofErr w:type="spellStart"/>
      <w:r w:rsidRPr="005C14AF">
        <w:rPr>
          <w:rFonts w:ascii="Verdana" w:hAnsi="Verdana"/>
          <w:i/>
          <w:snapToGrid/>
          <w:color w:val="111111"/>
          <w:sz w:val="17"/>
          <w:szCs w:val="17"/>
          <w:lang w:eastAsia="es-CO" w:bidi="ar-SA"/>
        </w:rPr>
        <w:t>Diario</w:t>
      </w:r>
      <w:proofErr w:type="spellEnd"/>
      <w:r w:rsidRPr="005C14AF">
        <w:rPr>
          <w:rFonts w:ascii="Verdana" w:hAnsi="Verdana"/>
          <w:i/>
          <w:snapToGrid/>
          <w:color w:val="111111"/>
          <w:sz w:val="17"/>
          <w:szCs w:val="17"/>
          <w:lang w:eastAsia="es-CO" w:bidi="ar-SA"/>
        </w:rPr>
        <w:t xml:space="preserve"> </w:t>
      </w:r>
      <w:proofErr w:type="spellStart"/>
      <w:r w:rsidRPr="005C14AF">
        <w:rPr>
          <w:rFonts w:ascii="Verdana" w:hAnsi="Verdana"/>
          <w:i/>
          <w:snapToGrid/>
          <w:color w:val="111111"/>
          <w:sz w:val="17"/>
          <w:szCs w:val="17"/>
          <w:lang w:eastAsia="es-CO" w:bidi="ar-SA"/>
        </w:rPr>
        <w:t>Oficial</w:t>
      </w:r>
      <w:proofErr w:type="spellEnd"/>
      <w:r w:rsidRPr="005C14AF">
        <w:rPr>
          <w:rFonts w:ascii="Verdana" w:hAnsi="Verdana"/>
          <w:i/>
          <w:snapToGrid/>
          <w:color w:val="111111"/>
          <w:sz w:val="17"/>
          <w:szCs w:val="17"/>
          <w:lang w:eastAsia="es-CO" w:bidi="ar-SA"/>
        </w:rPr>
        <w:t xml:space="preserve"> 49.150.</w:t>
      </w:r>
    </w:p>
    <w:p w:rsidR="00154F6D" w:rsidRDefault="005C14AF" w:rsidP="001C1D47">
      <w:pPr>
        <w:pStyle w:val="MDPI71References"/>
        <w:numPr>
          <w:ilvl w:val="0"/>
          <w:numId w:val="0"/>
        </w:numPr>
        <w:rPr>
          <w:rFonts w:ascii="Verdana" w:hAnsi="Verdana"/>
          <w:snapToGrid/>
          <w:color w:val="111111"/>
          <w:sz w:val="17"/>
          <w:szCs w:val="17"/>
          <w:lang w:eastAsia="es-CO" w:bidi="ar-SA"/>
        </w:rPr>
      </w:pPr>
      <w:r>
        <w:t>[18</w:t>
      </w:r>
      <w:r w:rsidR="001C1D47">
        <w:t xml:space="preserve">] </w:t>
      </w:r>
      <w:r w:rsidR="00154F6D" w:rsidRPr="009137AE">
        <w:rPr>
          <w:rFonts w:ascii="Verdana" w:hAnsi="Verdana"/>
          <w:snapToGrid/>
          <w:color w:val="111111"/>
          <w:sz w:val="17"/>
          <w:szCs w:val="17"/>
          <w:lang w:eastAsia="es-CO" w:bidi="ar-SA"/>
        </w:rPr>
        <w:t xml:space="preserve">Grantham Research Institute on Climate Change and the Environment. </w:t>
      </w:r>
      <w:proofErr w:type="gramStart"/>
      <w:r w:rsidR="00154F6D" w:rsidRPr="009137AE">
        <w:rPr>
          <w:rFonts w:ascii="Verdana" w:hAnsi="Verdana"/>
          <w:snapToGrid/>
          <w:color w:val="111111"/>
          <w:sz w:val="17"/>
          <w:szCs w:val="17"/>
          <w:lang w:eastAsia="es-CO" w:bidi="ar-SA"/>
        </w:rPr>
        <w:t>Law 1715, regulating the integration and promotion of non-conventional renewable energy to the national energy system.</w:t>
      </w:r>
      <w:proofErr w:type="gramEnd"/>
      <w:r w:rsidR="00154F6D" w:rsidRPr="009137AE">
        <w:rPr>
          <w:rFonts w:ascii="Verdana" w:hAnsi="Verdana"/>
          <w:snapToGrid/>
          <w:color w:val="111111"/>
          <w:sz w:val="17"/>
          <w:szCs w:val="17"/>
          <w:lang w:eastAsia="es-CO" w:bidi="ar-SA"/>
        </w:rPr>
        <w:t xml:space="preserve"> </w:t>
      </w:r>
      <w:proofErr w:type="gramStart"/>
      <w:r w:rsidR="00154F6D" w:rsidRPr="009137AE">
        <w:rPr>
          <w:rFonts w:ascii="Verdana" w:hAnsi="Verdana"/>
          <w:snapToGrid/>
          <w:color w:val="111111"/>
          <w:sz w:val="17"/>
          <w:szCs w:val="17"/>
          <w:lang w:eastAsia="es-CO" w:bidi="ar-SA"/>
        </w:rPr>
        <w:t>The London School of Economics and Political Science.</w:t>
      </w:r>
      <w:proofErr w:type="gramEnd"/>
      <w:r w:rsidR="00154F6D" w:rsidRPr="009137AE">
        <w:rPr>
          <w:rFonts w:ascii="Verdana" w:hAnsi="Verdana"/>
          <w:snapToGrid/>
          <w:color w:val="111111"/>
          <w:sz w:val="17"/>
          <w:szCs w:val="17"/>
          <w:lang w:eastAsia="es-CO" w:bidi="ar-SA"/>
        </w:rPr>
        <w:t xml:space="preserve"> Available online: www.lse.ac.uk/GranthamInstitute/legislation/countries/colombia/#legislative (accessed on 15 March 2016).</w:t>
      </w:r>
    </w:p>
    <w:p w:rsidR="00154F6D" w:rsidRDefault="005C14AF" w:rsidP="002F0A49">
      <w:pPr>
        <w:pStyle w:val="MDPI71References"/>
        <w:numPr>
          <w:ilvl w:val="0"/>
          <w:numId w:val="0"/>
        </w:numPr>
        <w:jc w:val="left"/>
        <w:rPr>
          <w:rFonts w:ascii="Verdana" w:hAnsi="Verdana"/>
          <w:snapToGrid/>
          <w:color w:val="111111"/>
          <w:sz w:val="17"/>
          <w:szCs w:val="17"/>
          <w:lang w:eastAsia="es-CO" w:bidi="ar-SA"/>
        </w:rPr>
      </w:pPr>
      <w:r>
        <w:rPr>
          <w:rFonts w:ascii="Verdana" w:hAnsi="Verdana"/>
          <w:snapToGrid/>
          <w:color w:val="111111"/>
          <w:sz w:val="17"/>
          <w:szCs w:val="17"/>
          <w:lang w:eastAsia="es-CO" w:bidi="ar-SA"/>
        </w:rPr>
        <w:t>[19</w:t>
      </w:r>
      <w:r w:rsidR="001C1D47" w:rsidRPr="001C1D47">
        <w:rPr>
          <w:rFonts w:ascii="Verdana" w:hAnsi="Verdana"/>
          <w:snapToGrid/>
          <w:color w:val="111111"/>
          <w:sz w:val="17"/>
          <w:szCs w:val="17"/>
          <w:lang w:eastAsia="es-CO" w:bidi="ar-SA"/>
        </w:rPr>
        <w:t xml:space="preserve">] A. </w:t>
      </w:r>
      <w:r w:rsidR="00154F6D" w:rsidRPr="001C1D47">
        <w:rPr>
          <w:rFonts w:ascii="Verdana" w:hAnsi="Verdana"/>
          <w:snapToGrid/>
          <w:color w:val="111111"/>
          <w:sz w:val="17"/>
          <w:szCs w:val="17"/>
          <w:lang w:eastAsia="es-CO" w:bidi="ar-SA"/>
        </w:rPr>
        <w:t>Castillo-</w:t>
      </w:r>
      <w:proofErr w:type="spellStart"/>
      <w:r w:rsidR="00154F6D" w:rsidRPr="001C1D47">
        <w:rPr>
          <w:rFonts w:ascii="Verdana" w:hAnsi="Verdana"/>
          <w:snapToGrid/>
          <w:color w:val="111111"/>
          <w:sz w:val="17"/>
          <w:szCs w:val="17"/>
          <w:lang w:eastAsia="es-CO" w:bidi="ar-SA"/>
        </w:rPr>
        <w:t>Ramírez</w:t>
      </w:r>
      <w:proofErr w:type="spellEnd"/>
      <w:r w:rsidR="00154F6D" w:rsidRPr="001C1D47">
        <w:rPr>
          <w:rFonts w:ascii="Verdana" w:hAnsi="Verdana"/>
          <w:snapToGrid/>
          <w:color w:val="111111"/>
          <w:sz w:val="17"/>
          <w:szCs w:val="17"/>
          <w:lang w:eastAsia="es-CO" w:bidi="ar-SA"/>
        </w:rPr>
        <w:t xml:space="preserve">, </w:t>
      </w:r>
      <w:r w:rsidR="001C1D47">
        <w:rPr>
          <w:rFonts w:ascii="Verdana" w:hAnsi="Verdana"/>
          <w:snapToGrid/>
          <w:color w:val="111111"/>
          <w:sz w:val="17"/>
          <w:szCs w:val="17"/>
          <w:lang w:eastAsia="es-CO" w:bidi="ar-SA"/>
        </w:rPr>
        <w:t xml:space="preserve">D. </w:t>
      </w:r>
      <w:proofErr w:type="spellStart"/>
      <w:r w:rsidR="00154F6D" w:rsidRPr="001C1D47">
        <w:rPr>
          <w:rFonts w:ascii="Verdana" w:hAnsi="Verdana"/>
          <w:snapToGrid/>
          <w:color w:val="111111"/>
          <w:sz w:val="17"/>
          <w:szCs w:val="17"/>
          <w:lang w:eastAsia="es-CO" w:bidi="ar-SA"/>
        </w:rPr>
        <w:t>Mejía-Giraldo</w:t>
      </w:r>
      <w:proofErr w:type="spellEnd"/>
      <w:r w:rsidR="00154F6D" w:rsidRPr="001C1D47">
        <w:rPr>
          <w:rFonts w:ascii="Verdana" w:hAnsi="Verdana"/>
          <w:snapToGrid/>
          <w:color w:val="111111"/>
          <w:sz w:val="17"/>
          <w:szCs w:val="17"/>
          <w:lang w:eastAsia="es-CO" w:bidi="ar-SA"/>
        </w:rPr>
        <w:t xml:space="preserve">, </w:t>
      </w:r>
      <w:r w:rsidR="001C1D47">
        <w:rPr>
          <w:rFonts w:ascii="Verdana" w:hAnsi="Verdana"/>
          <w:snapToGrid/>
          <w:color w:val="111111"/>
          <w:sz w:val="17"/>
          <w:szCs w:val="17"/>
          <w:lang w:eastAsia="es-CO" w:bidi="ar-SA"/>
        </w:rPr>
        <w:t>and J.D.</w:t>
      </w:r>
      <w:r w:rsidR="00154F6D" w:rsidRPr="001C1D47">
        <w:rPr>
          <w:rFonts w:ascii="Verdana" w:hAnsi="Verdana"/>
          <w:snapToGrid/>
          <w:color w:val="111111"/>
          <w:sz w:val="17"/>
          <w:szCs w:val="17"/>
          <w:lang w:eastAsia="es-CO" w:bidi="ar-SA"/>
        </w:rPr>
        <w:t xml:space="preserve"> </w:t>
      </w:r>
      <w:proofErr w:type="spellStart"/>
      <w:r w:rsidR="00154F6D" w:rsidRPr="001C1D47">
        <w:rPr>
          <w:rFonts w:ascii="Verdana" w:hAnsi="Verdana"/>
          <w:snapToGrid/>
          <w:color w:val="111111"/>
          <w:sz w:val="17"/>
          <w:szCs w:val="17"/>
          <w:lang w:eastAsia="es-CO" w:bidi="ar-SA"/>
        </w:rPr>
        <w:t>Giraldo-Ocampo</w:t>
      </w:r>
      <w:proofErr w:type="spellEnd"/>
      <w:r w:rsidR="00154F6D" w:rsidRPr="001C1D47">
        <w:rPr>
          <w:rFonts w:ascii="Verdana" w:hAnsi="Verdana"/>
          <w:snapToGrid/>
          <w:color w:val="111111"/>
          <w:sz w:val="17"/>
          <w:szCs w:val="17"/>
          <w:lang w:eastAsia="es-CO" w:bidi="ar-SA"/>
        </w:rPr>
        <w:t xml:space="preserve">, </w:t>
      </w:r>
      <w:r w:rsidR="001C1D47">
        <w:rPr>
          <w:rFonts w:ascii="Verdana" w:hAnsi="Verdana"/>
          <w:snapToGrid/>
          <w:color w:val="111111"/>
          <w:sz w:val="17"/>
          <w:szCs w:val="17"/>
          <w:lang w:eastAsia="es-CO" w:bidi="ar-SA"/>
        </w:rPr>
        <w:t>“</w:t>
      </w:r>
      <w:r w:rsidR="00154F6D" w:rsidRPr="001C1D47">
        <w:rPr>
          <w:rFonts w:ascii="Verdana" w:hAnsi="Verdana"/>
          <w:snapToGrid/>
          <w:color w:val="111111"/>
          <w:sz w:val="17"/>
          <w:szCs w:val="17"/>
          <w:lang w:eastAsia="es-CO" w:bidi="ar-SA"/>
        </w:rPr>
        <w:t xml:space="preserve">Geospatial </w:t>
      </w:r>
      <w:proofErr w:type="spellStart"/>
      <w:r w:rsidR="00154F6D" w:rsidRPr="001C1D47">
        <w:rPr>
          <w:rFonts w:ascii="Verdana" w:hAnsi="Verdana"/>
          <w:snapToGrid/>
          <w:color w:val="111111"/>
          <w:sz w:val="17"/>
          <w:szCs w:val="17"/>
          <w:lang w:eastAsia="es-CO" w:bidi="ar-SA"/>
        </w:rPr>
        <w:t>levelized</w:t>
      </w:r>
      <w:proofErr w:type="spellEnd"/>
      <w:r w:rsidR="00154F6D" w:rsidRPr="001C1D47">
        <w:rPr>
          <w:rFonts w:ascii="Verdana" w:hAnsi="Verdana"/>
          <w:snapToGrid/>
          <w:color w:val="111111"/>
          <w:sz w:val="17"/>
          <w:szCs w:val="17"/>
          <w:lang w:eastAsia="es-CO" w:bidi="ar-SA"/>
        </w:rPr>
        <w:t xml:space="preserve"> cost of energy in Colombia: </w:t>
      </w:r>
      <w:proofErr w:type="spellStart"/>
      <w:r w:rsidR="00154F6D" w:rsidRPr="001C1D47">
        <w:rPr>
          <w:rFonts w:ascii="Verdana" w:hAnsi="Verdana"/>
          <w:snapToGrid/>
          <w:color w:val="111111"/>
          <w:sz w:val="17"/>
          <w:szCs w:val="17"/>
          <w:lang w:eastAsia="es-CO" w:bidi="ar-SA"/>
        </w:rPr>
        <w:t>GeoLCOE</w:t>
      </w:r>
      <w:proofErr w:type="spellEnd"/>
      <w:proofErr w:type="gramStart"/>
      <w:r w:rsidR="001C1D47">
        <w:rPr>
          <w:rFonts w:ascii="Verdana" w:hAnsi="Verdana"/>
          <w:snapToGrid/>
          <w:color w:val="111111"/>
          <w:sz w:val="17"/>
          <w:szCs w:val="17"/>
          <w:lang w:eastAsia="es-CO" w:bidi="ar-SA"/>
        </w:rPr>
        <w:t xml:space="preserve">” </w:t>
      </w:r>
      <w:r w:rsidR="00154F6D" w:rsidRPr="001C1D47">
        <w:rPr>
          <w:rFonts w:ascii="Verdana" w:hAnsi="Verdana"/>
          <w:snapToGrid/>
          <w:color w:val="111111"/>
          <w:sz w:val="17"/>
          <w:szCs w:val="17"/>
          <w:lang w:eastAsia="es-CO" w:bidi="ar-SA"/>
        </w:rPr>
        <w:t>.</w:t>
      </w:r>
      <w:proofErr w:type="gramEnd"/>
      <w:r w:rsidR="00154F6D" w:rsidRPr="001C1D47">
        <w:rPr>
          <w:rFonts w:ascii="Verdana" w:hAnsi="Verdana"/>
          <w:snapToGrid/>
          <w:color w:val="111111"/>
          <w:sz w:val="17"/>
          <w:szCs w:val="17"/>
          <w:lang w:eastAsia="es-CO" w:bidi="ar-SA"/>
        </w:rPr>
        <w:t xml:space="preserve"> </w:t>
      </w:r>
      <w:proofErr w:type="gramStart"/>
      <w:r w:rsidR="001C1D47">
        <w:rPr>
          <w:rFonts w:ascii="Verdana" w:hAnsi="Verdana"/>
          <w:snapToGrid/>
          <w:color w:val="111111"/>
          <w:sz w:val="17"/>
          <w:szCs w:val="17"/>
          <w:lang w:eastAsia="es-CO" w:bidi="ar-SA"/>
        </w:rPr>
        <w:t>i</w:t>
      </w:r>
      <w:r w:rsidR="00154F6D" w:rsidRPr="001C1D47">
        <w:rPr>
          <w:rFonts w:ascii="Verdana" w:hAnsi="Verdana"/>
          <w:snapToGrid/>
          <w:color w:val="111111"/>
          <w:sz w:val="17"/>
          <w:szCs w:val="17"/>
          <w:lang w:eastAsia="es-CO" w:bidi="ar-SA"/>
        </w:rPr>
        <w:t>n</w:t>
      </w:r>
      <w:proofErr w:type="gramEnd"/>
      <w:r w:rsidR="00154F6D" w:rsidRPr="001C1D47">
        <w:rPr>
          <w:rFonts w:ascii="Verdana" w:hAnsi="Verdana"/>
          <w:snapToGrid/>
          <w:color w:val="111111"/>
          <w:sz w:val="17"/>
          <w:szCs w:val="17"/>
          <w:lang w:eastAsia="es-CO" w:bidi="ar-SA"/>
        </w:rPr>
        <w:t xml:space="preserve"> Proceedings 2015 IEEE PES Innovative Smart Grid Technologies Latin America (ISGT LATAM), Montevideo, Uruguay, Oct 2015; pp. 298-303.</w:t>
      </w:r>
    </w:p>
    <w:p w:rsidR="00477E12" w:rsidRDefault="00477E12" w:rsidP="00477E12">
      <w:pPr>
        <w:pStyle w:val="MDPI71References"/>
        <w:numPr>
          <w:ilvl w:val="0"/>
          <w:numId w:val="0"/>
        </w:numPr>
        <w:rPr>
          <w:rFonts w:ascii="Verdana" w:hAnsi="Verdana"/>
          <w:snapToGrid/>
          <w:color w:val="111111"/>
          <w:sz w:val="17"/>
          <w:szCs w:val="17"/>
          <w:lang w:eastAsia="es-CO" w:bidi="ar-SA"/>
        </w:rPr>
      </w:pPr>
      <w:r>
        <w:rPr>
          <w:rFonts w:ascii="Verdana" w:hAnsi="Verdana"/>
          <w:color w:val="111111"/>
          <w:sz w:val="17"/>
          <w:szCs w:val="17"/>
        </w:rPr>
        <w:t>[20</w:t>
      </w:r>
      <w:r w:rsidRPr="00A1619C">
        <w:rPr>
          <w:rFonts w:ascii="Verdana" w:hAnsi="Verdana"/>
          <w:color w:val="111111"/>
          <w:sz w:val="17"/>
          <w:szCs w:val="17"/>
        </w:rPr>
        <w:t xml:space="preserve">] </w:t>
      </w:r>
      <w:r>
        <w:rPr>
          <w:rFonts w:ascii="Verdana" w:hAnsi="Verdana"/>
          <w:color w:val="111111"/>
          <w:sz w:val="17"/>
          <w:szCs w:val="17"/>
        </w:rPr>
        <w:t xml:space="preserve">A.M. </w:t>
      </w:r>
      <w:r>
        <w:rPr>
          <w:rFonts w:ascii="Verdana" w:hAnsi="Verdana"/>
          <w:snapToGrid/>
          <w:color w:val="111111"/>
          <w:sz w:val="17"/>
          <w:szCs w:val="17"/>
          <w:lang w:eastAsia="es-CO" w:bidi="ar-SA"/>
        </w:rPr>
        <w:t xml:space="preserve">Vega, F. </w:t>
      </w:r>
      <w:proofErr w:type="spellStart"/>
      <w:r>
        <w:rPr>
          <w:rFonts w:ascii="Verdana" w:hAnsi="Verdana"/>
          <w:snapToGrid/>
          <w:color w:val="111111"/>
          <w:sz w:val="17"/>
          <w:szCs w:val="17"/>
          <w:lang w:eastAsia="es-CO" w:bidi="ar-SA"/>
        </w:rPr>
        <w:t>Santamaría</w:t>
      </w:r>
      <w:proofErr w:type="spellEnd"/>
      <w:r>
        <w:rPr>
          <w:rFonts w:ascii="Verdana" w:hAnsi="Verdana"/>
          <w:snapToGrid/>
          <w:color w:val="111111"/>
          <w:sz w:val="17"/>
          <w:szCs w:val="17"/>
          <w:lang w:eastAsia="es-CO" w:bidi="ar-SA"/>
        </w:rPr>
        <w:t xml:space="preserve"> and</w:t>
      </w:r>
      <w:r w:rsidRPr="00424973">
        <w:rPr>
          <w:rFonts w:ascii="Verdana" w:hAnsi="Verdana"/>
          <w:snapToGrid/>
          <w:color w:val="111111"/>
          <w:sz w:val="17"/>
          <w:szCs w:val="17"/>
          <w:lang w:eastAsia="es-CO" w:bidi="ar-SA"/>
        </w:rPr>
        <w:t xml:space="preserve"> </w:t>
      </w:r>
      <w:r>
        <w:rPr>
          <w:rFonts w:ascii="Verdana" w:hAnsi="Verdana"/>
          <w:snapToGrid/>
          <w:color w:val="111111"/>
          <w:sz w:val="17"/>
          <w:szCs w:val="17"/>
          <w:lang w:eastAsia="es-CO" w:bidi="ar-SA"/>
        </w:rPr>
        <w:t>E. Rivas</w:t>
      </w:r>
      <w:r w:rsidRPr="00424973">
        <w:rPr>
          <w:rFonts w:ascii="Verdana" w:hAnsi="Verdana"/>
          <w:snapToGrid/>
          <w:color w:val="111111"/>
          <w:sz w:val="17"/>
          <w:szCs w:val="17"/>
          <w:lang w:eastAsia="es-CO" w:bidi="ar-SA"/>
        </w:rPr>
        <w:t xml:space="preserve"> “</w:t>
      </w:r>
      <w:r>
        <w:rPr>
          <w:rFonts w:ascii="Verdana" w:hAnsi="Verdana"/>
          <w:snapToGrid/>
          <w:color w:val="111111"/>
          <w:sz w:val="17"/>
          <w:szCs w:val="17"/>
          <w:lang w:eastAsia="es-CO" w:bidi="ar-SA"/>
        </w:rPr>
        <w:t>Efficient home energy management based on incentives of the Colombian law 1715/2014</w:t>
      </w:r>
      <w:r w:rsidRPr="00424973">
        <w:rPr>
          <w:rFonts w:ascii="Verdana" w:hAnsi="Verdana"/>
          <w:snapToGrid/>
          <w:color w:val="111111"/>
          <w:sz w:val="17"/>
          <w:szCs w:val="17"/>
          <w:lang w:eastAsia="es-CO" w:bidi="ar-SA"/>
        </w:rPr>
        <w:t>,” in</w:t>
      </w:r>
      <w:r>
        <w:t xml:space="preserve"> </w:t>
      </w:r>
      <w:proofErr w:type="spellStart"/>
      <w:r w:rsidR="00417E1A">
        <w:rPr>
          <w:rStyle w:val="nfasis"/>
          <w:rFonts w:ascii="Verdana" w:hAnsi="Verdana"/>
          <w:snapToGrid/>
          <w:color w:val="111111"/>
          <w:sz w:val="17"/>
          <w:szCs w:val="17"/>
          <w:lang w:eastAsia="es-CO" w:bidi="ar-SA"/>
        </w:rPr>
        <w:t>Ingeniería</w:t>
      </w:r>
      <w:proofErr w:type="spellEnd"/>
      <w:r w:rsidR="00417E1A">
        <w:rPr>
          <w:rStyle w:val="nfasis"/>
          <w:rFonts w:ascii="Verdana" w:hAnsi="Verdana"/>
          <w:snapToGrid/>
          <w:color w:val="111111"/>
          <w:sz w:val="17"/>
          <w:szCs w:val="17"/>
          <w:lang w:eastAsia="es-CO" w:bidi="ar-SA"/>
        </w:rPr>
        <w:t xml:space="preserve"> y Universidad</w:t>
      </w:r>
      <w:r>
        <w:rPr>
          <w:rStyle w:val="nfasis"/>
          <w:rFonts w:ascii="Verdana" w:hAnsi="Verdana"/>
          <w:snapToGrid/>
          <w:color w:val="111111"/>
          <w:sz w:val="17"/>
          <w:szCs w:val="17"/>
          <w:lang w:eastAsia="es-CO" w:bidi="ar-SA"/>
        </w:rPr>
        <w:t>,</w:t>
      </w:r>
      <w:r w:rsidRPr="000154F4">
        <w:t xml:space="preserve"> </w:t>
      </w:r>
      <w:r>
        <w:t>Vol</w:t>
      </w:r>
      <w:r>
        <w:rPr>
          <w:rFonts w:ascii="Verdana" w:hAnsi="Verdana"/>
          <w:snapToGrid/>
          <w:color w:val="111111"/>
          <w:sz w:val="17"/>
          <w:szCs w:val="17"/>
          <w:lang w:eastAsia="es-CO" w:bidi="ar-SA"/>
        </w:rPr>
        <w:t>. 20</w:t>
      </w:r>
      <w:r w:rsidRPr="00424973">
        <w:rPr>
          <w:rFonts w:ascii="Verdana" w:hAnsi="Verdana"/>
          <w:snapToGrid/>
          <w:color w:val="111111"/>
          <w:sz w:val="17"/>
          <w:szCs w:val="17"/>
          <w:lang w:eastAsia="es-CO" w:bidi="ar-SA"/>
        </w:rPr>
        <w:t>,</w:t>
      </w:r>
      <w:r>
        <w:rPr>
          <w:rFonts w:ascii="Verdana" w:hAnsi="Verdana"/>
          <w:snapToGrid/>
          <w:color w:val="111111"/>
          <w:sz w:val="17"/>
          <w:szCs w:val="17"/>
          <w:lang w:eastAsia="es-CO" w:bidi="ar-SA"/>
        </w:rPr>
        <w:t xml:space="preserve"> 2016,</w:t>
      </w:r>
      <w:r w:rsidRPr="00424973">
        <w:rPr>
          <w:rFonts w:ascii="Verdana" w:hAnsi="Verdana"/>
          <w:snapToGrid/>
          <w:color w:val="111111"/>
          <w:sz w:val="17"/>
          <w:szCs w:val="17"/>
          <w:lang w:eastAsia="es-CO" w:bidi="ar-SA"/>
        </w:rPr>
        <w:t xml:space="preserve"> </w:t>
      </w:r>
      <w:r>
        <w:rPr>
          <w:rFonts w:ascii="Verdana" w:hAnsi="Verdana"/>
          <w:snapToGrid/>
          <w:color w:val="111111"/>
          <w:sz w:val="17"/>
          <w:szCs w:val="17"/>
          <w:lang w:eastAsia="es-CO" w:bidi="ar-SA"/>
        </w:rPr>
        <w:t>pp. 259-275.</w:t>
      </w:r>
    </w:p>
    <w:p w:rsidR="00154F6D" w:rsidRPr="001C1D47" w:rsidRDefault="001C1D47" w:rsidP="002F0A49">
      <w:pPr>
        <w:pStyle w:val="MDPI71References"/>
        <w:numPr>
          <w:ilvl w:val="0"/>
          <w:numId w:val="0"/>
        </w:numPr>
        <w:jc w:val="left"/>
        <w:rPr>
          <w:rFonts w:ascii="Verdana" w:hAnsi="Verdana"/>
          <w:snapToGrid/>
          <w:color w:val="111111"/>
          <w:sz w:val="17"/>
          <w:szCs w:val="17"/>
          <w:lang w:eastAsia="es-CO" w:bidi="ar-SA"/>
        </w:rPr>
      </w:pPr>
      <w:r w:rsidRPr="001C1D47">
        <w:rPr>
          <w:rFonts w:ascii="Verdana" w:hAnsi="Verdana"/>
          <w:snapToGrid/>
          <w:color w:val="111111"/>
          <w:sz w:val="17"/>
          <w:szCs w:val="17"/>
          <w:lang w:eastAsia="es-CO" w:bidi="ar-SA"/>
        </w:rPr>
        <w:t>[21] J.</w:t>
      </w:r>
      <w:r w:rsidR="00B979A0">
        <w:rPr>
          <w:rFonts w:ascii="Verdana" w:hAnsi="Verdana"/>
          <w:snapToGrid/>
          <w:color w:val="111111"/>
          <w:sz w:val="17"/>
          <w:szCs w:val="17"/>
          <w:lang w:eastAsia="es-CO" w:bidi="ar-SA"/>
        </w:rPr>
        <w:t xml:space="preserve"> </w:t>
      </w:r>
      <w:proofErr w:type="spellStart"/>
      <w:r w:rsidR="00154F6D" w:rsidRPr="001C1D47">
        <w:rPr>
          <w:rFonts w:ascii="Verdana" w:hAnsi="Verdana"/>
          <w:snapToGrid/>
          <w:color w:val="111111"/>
          <w:sz w:val="17"/>
          <w:szCs w:val="17"/>
          <w:lang w:eastAsia="es-CO" w:bidi="ar-SA"/>
        </w:rPr>
        <w:t>Velásquez</w:t>
      </w:r>
      <w:proofErr w:type="spellEnd"/>
      <w:r w:rsidRPr="001C1D47">
        <w:rPr>
          <w:rFonts w:ascii="Verdana" w:hAnsi="Verdana"/>
          <w:snapToGrid/>
          <w:color w:val="111111"/>
          <w:sz w:val="17"/>
          <w:szCs w:val="17"/>
          <w:lang w:eastAsia="es-CO" w:bidi="ar-SA"/>
        </w:rPr>
        <w:t xml:space="preserve"> and R.</w:t>
      </w:r>
      <w:r w:rsidR="00154F6D" w:rsidRPr="001C1D47">
        <w:rPr>
          <w:rFonts w:ascii="Verdana" w:hAnsi="Verdana"/>
          <w:snapToGrid/>
          <w:color w:val="111111"/>
          <w:sz w:val="17"/>
          <w:szCs w:val="17"/>
          <w:lang w:eastAsia="es-CO" w:bidi="ar-SA"/>
        </w:rPr>
        <w:t xml:space="preserve"> Campo, </w:t>
      </w:r>
      <w:r w:rsidRPr="001C1D47">
        <w:rPr>
          <w:rFonts w:ascii="Verdana" w:hAnsi="Verdana"/>
          <w:snapToGrid/>
          <w:color w:val="111111"/>
          <w:sz w:val="17"/>
          <w:szCs w:val="17"/>
          <w:lang w:eastAsia="es-CO" w:bidi="ar-SA"/>
        </w:rPr>
        <w:t>“</w:t>
      </w:r>
      <w:r w:rsidR="00154F6D" w:rsidRPr="001C1D47">
        <w:rPr>
          <w:rFonts w:ascii="Verdana" w:hAnsi="Verdana"/>
          <w:snapToGrid/>
          <w:color w:val="111111"/>
          <w:sz w:val="17"/>
          <w:szCs w:val="17"/>
          <w:lang w:eastAsia="es-CO" w:bidi="ar-SA"/>
        </w:rPr>
        <w:t xml:space="preserve"> The Colombian electricity market and its impact in hydrothermal expansion</w:t>
      </w:r>
      <w:r w:rsidRPr="001C1D47">
        <w:rPr>
          <w:rFonts w:ascii="Verdana" w:hAnsi="Verdana"/>
          <w:snapToGrid/>
          <w:color w:val="111111"/>
          <w:sz w:val="17"/>
          <w:szCs w:val="17"/>
          <w:lang w:eastAsia="es-CO" w:bidi="ar-SA"/>
        </w:rPr>
        <w:t>,” i</w:t>
      </w:r>
      <w:r w:rsidR="00154F6D" w:rsidRPr="001C1D47">
        <w:rPr>
          <w:rFonts w:ascii="Verdana" w:hAnsi="Verdana"/>
          <w:snapToGrid/>
          <w:color w:val="111111"/>
          <w:sz w:val="17"/>
          <w:szCs w:val="17"/>
          <w:lang w:eastAsia="es-CO" w:bidi="ar-SA"/>
        </w:rPr>
        <w:t>n Proceedings of the Power and Energy Society General Meeting – Conversion and Delivery of Electrical Energy in the 21st Century,</w:t>
      </w:r>
      <w:r w:rsidR="00B979A0">
        <w:rPr>
          <w:rFonts w:ascii="Verdana" w:hAnsi="Verdana"/>
          <w:snapToGrid/>
          <w:color w:val="111111"/>
          <w:sz w:val="17"/>
          <w:szCs w:val="17"/>
          <w:lang w:eastAsia="es-CO" w:bidi="ar-SA"/>
        </w:rPr>
        <w:t xml:space="preserve"> </w:t>
      </w:r>
      <w:r w:rsidR="00154F6D" w:rsidRPr="001C1D47">
        <w:rPr>
          <w:rFonts w:ascii="Verdana" w:hAnsi="Verdana"/>
          <w:snapToGrid/>
          <w:color w:val="111111"/>
          <w:sz w:val="17"/>
          <w:szCs w:val="17"/>
          <w:lang w:eastAsia="es-CO" w:bidi="ar-SA"/>
        </w:rPr>
        <w:t>Pittsburgh, PA, USA, July 2008.</w:t>
      </w:r>
    </w:p>
    <w:p w:rsidR="00154F6D" w:rsidRPr="00415719" w:rsidRDefault="001C1D47" w:rsidP="001C1D47">
      <w:pPr>
        <w:pStyle w:val="MDPI71References"/>
        <w:numPr>
          <w:ilvl w:val="0"/>
          <w:numId w:val="0"/>
        </w:numPr>
        <w:rPr>
          <w:rFonts w:ascii="Verdana" w:hAnsi="Verdana"/>
          <w:snapToGrid/>
          <w:color w:val="111111"/>
          <w:sz w:val="17"/>
          <w:szCs w:val="17"/>
          <w:lang w:eastAsia="es-CO" w:bidi="ar-SA"/>
        </w:rPr>
      </w:pPr>
      <w:r>
        <w:t xml:space="preserve">[22] </w:t>
      </w:r>
      <w:r w:rsidRPr="00415719">
        <w:rPr>
          <w:rFonts w:ascii="Verdana" w:hAnsi="Verdana"/>
          <w:snapToGrid/>
          <w:color w:val="111111"/>
          <w:sz w:val="17"/>
          <w:szCs w:val="17"/>
          <w:lang w:eastAsia="es-CO" w:bidi="ar-SA"/>
        </w:rPr>
        <w:t xml:space="preserve">L. </w:t>
      </w:r>
      <w:r w:rsidR="00154F6D" w:rsidRPr="00415719">
        <w:rPr>
          <w:rFonts w:ascii="Verdana" w:hAnsi="Verdana"/>
          <w:snapToGrid/>
          <w:color w:val="111111"/>
          <w:sz w:val="17"/>
          <w:szCs w:val="17"/>
          <w:lang w:eastAsia="es-CO" w:bidi="ar-SA"/>
        </w:rPr>
        <w:t xml:space="preserve">De Castro, </w:t>
      </w:r>
      <w:r w:rsidRPr="00415719">
        <w:rPr>
          <w:rFonts w:ascii="Verdana" w:hAnsi="Verdana"/>
          <w:snapToGrid/>
          <w:color w:val="111111"/>
          <w:sz w:val="17"/>
          <w:szCs w:val="17"/>
          <w:lang w:eastAsia="es-CO" w:bidi="ar-SA"/>
        </w:rPr>
        <w:t>S.</w:t>
      </w:r>
      <w:r w:rsidR="00154F6D" w:rsidRPr="00415719">
        <w:rPr>
          <w:rFonts w:ascii="Verdana" w:hAnsi="Verdana"/>
          <w:snapToGrid/>
          <w:color w:val="111111"/>
          <w:sz w:val="17"/>
          <w:szCs w:val="17"/>
          <w:lang w:eastAsia="es-CO" w:bidi="ar-SA"/>
        </w:rPr>
        <w:t xml:space="preserve"> Oren, </w:t>
      </w:r>
      <w:r w:rsidRPr="00415719">
        <w:rPr>
          <w:rFonts w:ascii="Verdana" w:hAnsi="Verdana"/>
          <w:snapToGrid/>
          <w:color w:val="111111"/>
          <w:sz w:val="17"/>
          <w:szCs w:val="17"/>
          <w:lang w:eastAsia="es-CO" w:bidi="ar-SA"/>
        </w:rPr>
        <w:t xml:space="preserve">A. </w:t>
      </w:r>
      <w:proofErr w:type="spellStart"/>
      <w:r w:rsidRPr="00415719">
        <w:rPr>
          <w:rFonts w:ascii="Verdana" w:hAnsi="Verdana"/>
          <w:snapToGrid/>
          <w:color w:val="111111"/>
          <w:sz w:val="17"/>
          <w:szCs w:val="17"/>
          <w:lang w:eastAsia="es-CO" w:bidi="ar-SA"/>
        </w:rPr>
        <w:t>Riascos</w:t>
      </w:r>
      <w:proofErr w:type="spellEnd"/>
      <w:r w:rsidRPr="00415719">
        <w:rPr>
          <w:rFonts w:ascii="Verdana" w:hAnsi="Verdana"/>
          <w:snapToGrid/>
          <w:color w:val="111111"/>
          <w:sz w:val="17"/>
          <w:szCs w:val="17"/>
          <w:lang w:eastAsia="es-CO" w:bidi="ar-SA"/>
        </w:rPr>
        <w:t xml:space="preserve"> and M. </w:t>
      </w:r>
      <w:r w:rsidR="00154F6D" w:rsidRPr="00415719">
        <w:rPr>
          <w:rFonts w:ascii="Verdana" w:hAnsi="Verdana"/>
          <w:snapToGrid/>
          <w:color w:val="111111"/>
          <w:sz w:val="17"/>
          <w:szCs w:val="17"/>
          <w:lang w:eastAsia="es-CO" w:bidi="ar-SA"/>
        </w:rPr>
        <w:t xml:space="preserve">Bernal, </w:t>
      </w:r>
      <w:r w:rsidRPr="00415719">
        <w:rPr>
          <w:rFonts w:ascii="Verdana" w:hAnsi="Verdana"/>
          <w:snapToGrid/>
          <w:color w:val="111111"/>
          <w:sz w:val="17"/>
          <w:szCs w:val="17"/>
          <w:lang w:eastAsia="es-CO" w:bidi="ar-SA"/>
        </w:rPr>
        <w:t>“</w:t>
      </w:r>
      <w:r w:rsidR="00154F6D" w:rsidRPr="00415719">
        <w:rPr>
          <w:rFonts w:ascii="Verdana" w:hAnsi="Verdana"/>
          <w:snapToGrid/>
          <w:color w:val="111111"/>
          <w:sz w:val="17"/>
          <w:szCs w:val="17"/>
          <w:lang w:eastAsia="es-CO" w:bidi="ar-SA"/>
        </w:rPr>
        <w:t>Transition to centralized unit commitment: An econometric analysis of Colombia`s experience</w:t>
      </w:r>
      <w:r w:rsidRPr="00415719">
        <w:rPr>
          <w:rFonts w:ascii="Verdana" w:hAnsi="Verdana"/>
          <w:snapToGrid/>
          <w:color w:val="111111"/>
          <w:sz w:val="17"/>
          <w:szCs w:val="17"/>
          <w:lang w:eastAsia="es-CO" w:bidi="ar-SA"/>
        </w:rPr>
        <w:t xml:space="preserve">”, </w:t>
      </w:r>
      <w:proofErr w:type="gramStart"/>
      <w:r w:rsidRPr="00415719">
        <w:rPr>
          <w:rFonts w:ascii="Verdana" w:hAnsi="Verdana"/>
          <w:snapToGrid/>
          <w:color w:val="111111"/>
          <w:sz w:val="17"/>
          <w:szCs w:val="17"/>
          <w:lang w:eastAsia="es-CO" w:bidi="ar-SA"/>
        </w:rPr>
        <w:t xml:space="preserve">in </w:t>
      </w:r>
      <w:r w:rsidR="00154F6D" w:rsidRPr="00415719">
        <w:rPr>
          <w:rFonts w:ascii="Verdana" w:hAnsi="Verdana"/>
          <w:snapToGrid/>
          <w:color w:val="111111"/>
          <w:sz w:val="17"/>
          <w:szCs w:val="17"/>
          <w:lang w:eastAsia="es-CO" w:bidi="ar-SA"/>
        </w:rPr>
        <w:t xml:space="preserve"> </w:t>
      </w:r>
      <w:proofErr w:type="spellStart"/>
      <w:r w:rsidR="00154F6D" w:rsidRPr="00415719">
        <w:rPr>
          <w:rFonts w:ascii="Verdana" w:hAnsi="Verdana"/>
          <w:i/>
          <w:snapToGrid/>
          <w:color w:val="111111"/>
          <w:sz w:val="17"/>
          <w:szCs w:val="17"/>
          <w:lang w:eastAsia="es-CO" w:bidi="ar-SA"/>
        </w:rPr>
        <w:t>Borradores</w:t>
      </w:r>
      <w:proofErr w:type="spellEnd"/>
      <w:proofErr w:type="gramEnd"/>
      <w:r w:rsidR="00154F6D" w:rsidRPr="00415719">
        <w:rPr>
          <w:rFonts w:ascii="Verdana" w:hAnsi="Verdana"/>
          <w:i/>
          <w:snapToGrid/>
          <w:color w:val="111111"/>
          <w:sz w:val="17"/>
          <w:szCs w:val="17"/>
          <w:lang w:eastAsia="es-CO" w:bidi="ar-SA"/>
        </w:rPr>
        <w:t xml:space="preserve"> de</w:t>
      </w:r>
      <w:r w:rsidR="00154F6D" w:rsidRPr="00415719">
        <w:rPr>
          <w:rFonts w:ascii="Verdana" w:hAnsi="Verdana"/>
          <w:snapToGrid/>
          <w:color w:val="111111"/>
          <w:sz w:val="17"/>
          <w:szCs w:val="17"/>
          <w:lang w:eastAsia="es-CO" w:bidi="ar-SA"/>
        </w:rPr>
        <w:t xml:space="preserve"> </w:t>
      </w:r>
      <w:proofErr w:type="spellStart"/>
      <w:r w:rsidR="00154F6D" w:rsidRPr="00415719">
        <w:rPr>
          <w:rFonts w:ascii="Verdana" w:hAnsi="Verdana"/>
          <w:i/>
          <w:snapToGrid/>
          <w:color w:val="111111"/>
          <w:sz w:val="17"/>
          <w:szCs w:val="17"/>
          <w:lang w:eastAsia="es-CO" w:bidi="ar-SA"/>
        </w:rPr>
        <w:t>Economía</w:t>
      </w:r>
      <w:proofErr w:type="spellEnd"/>
      <w:r w:rsidR="00415719" w:rsidRPr="00415719">
        <w:rPr>
          <w:rFonts w:ascii="Verdana" w:hAnsi="Verdana"/>
          <w:i/>
          <w:snapToGrid/>
          <w:color w:val="111111"/>
          <w:sz w:val="17"/>
          <w:szCs w:val="17"/>
          <w:lang w:eastAsia="es-CO" w:bidi="ar-SA"/>
        </w:rPr>
        <w:t xml:space="preserve"> </w:t>
      </w:r>
      <w:r w:rsidR="00415719" w:rsidRPr="00415719">
        <w:rPr>
          <w:rFonts w:ascii="Verdana" w:hAnsi="Verdana"/>
          <w:snapToGrid/>
          <w:color w:val="111111"/>
          <w:sz w:val="17"/>
          <w:szCs w:val="17"/>
          <w:lang w:eastAsia="es-CO" w:bidi="ar-SA"/>
        </w:rPr>
        <w:t>Vol. 830,</w:t>
      </w:r>
      <w:r w:rsidR="00154F6D" w:rsidRPr="00415719">
        <w:rPr>
          <w:rFonts w:ascii="Verdana" w:hAnsi="Verdana"/>
          <w:snapToGrid/>
          <w:color w:val="111111"/>
          <w:sz w:val="17"/>
          <w:szCs w:val="17"/>
          <w:lang w:eastAsia="es-CO" w:bidi="ar-SA"/>
        </w:rPr>
        <w:t xml:space="preserve"> 2014, </w:t>
      </w:r>
      <w:r w:rsidR="00415719" w:rsidRPr="00415719">
        <w:rPr>
          <w:rFonts w:ascii="Verdana" w:hAnsi="Verdana"/>
          <w:snapToGrid/>
          <w:color w:val="111111"/>
          <w:sz w:val="17"/>
          <w:szCs w:val="17"/>
          <w:lang w:eastAsia="es-CO" w:bidi="ar-SA"/>
        </w:rPr>
        <w:t>pp.</w:t>
      </w:r>
      <w:r w:rsidR="002F0A49">
        <w:rPr>
          <w:rFonts w:ascii="Verdana" w:hAnsi="Verdana"/>
          <w:snapToGrid/>
          <w:color w:val="111111"/>
          <w:sz w:val="17"/>
          <w:szCs w:val="17"/>
          <w:lang w:eastAsia="es-CO" w:bidi="ar-SA"/>
        </w:rPr>
        <w:t xml:space="preserve"> 1-38</w:t>
      </w:r>
      <w:r w:rsidR="00154F6D" w:rsidRPr="00415719">
        <w:rPr>
          <w:rFonts w:ascii="Verdana" w:hAnsi="Verdana"/>
          <w:snapToGrid/>
          <w:color w:val="111111"/>
          <w:sz w:val="17"/>
          <w:szCs w:val="17"/>
          <w:lang w:eastAsia="es-CO" w:bidi="ar-SA"/>
        </w:rPr>
        <w:t>.</w:t>
      </w:r>
    </w:p>
    <w:p w:rsidR="00424973" w:rsidRDefault="00415719" w:rsidP="009137AE">
      <w:pPr>
        <w:pStyle w:val="MDPI71References"/>
        <w:numPr>
          <w:ilvl w:val="0"/>
          <w:numId w:val="0"/>
        </w:numPr>
        <w:rPr>
          <w:rFonts w:ascii="Verdana" w:hAnsi="Verdana"/>
          <w:color w:val="111111"/>
          <w:sz w:val="17"/>
          <w:szCs w:val="17"/>
        </w:rPr>
      </w:pPr>
      <w:r>
        <w:t xml:space="preserve">[23] </w:t>
      </w:r>
      <w:r w:rsidRPr="0047242B">
        <w:rPr>
          <w:rFonts w:ascii="Verdana" w:hAnsi="Verdana"/>
          <w:snapToGrid/>
          <w:color w:val="111111"/>
          <w:sz w:val="17"/>
          <w:szCs w:val="17"/>
          <w:lang w:eastAsia="es-CO" w:bidi="ar-SA"/>
        </w:rPr>
        <w:t>A.L.</w:t>
      </w:r>
      <w:r w:rsidR="00477E12">
        <w:rPr>
          <w:rFonts w:ascii="Verdana" w:hAnsi="Verdana"/>
          <w:snapToGrid/>
          <w:color w:val="111111"/>
          <w:sz w:val="17"/>
          <w:szCs w:val="17"/>
          <w:lang w:eastAsia="es-CO" w:bidi="ar-SA"/>
        </w:rPr>
        <w:t xml:space="preserve"> </w:t>
      </w:r>
      <w:proofErr w:type="spellStart"/>
      <w:r w:rsidR="00154F6D" w:rsidRPr="0047242B">
        <w:rPr>
          <w:rFonts w:ascii="Verdana" w:hAnsi="Verdana"/>
          <w:snapToGrid/>
          <w:color w:val="111111"/>
          <w:sz w:val="17"/>
          <w:szCs w:val="17"/>
          <w:lang w:eastAsia="es-CO" w:bidi="ar-SA"/>
        </w:rPr>
        <w:t>Farooquee</w:t>
      </w:r>
      <w:proofErr w:type="spellEnd"/>
      <w:r w:rsidRPr="0047242B">
        <w:rPr>
          <w:rFonts w:ascii="Verdana" w:hAnsi="Verdana"/>
          <w:snapToGrid/>
          <w:color w:val="111111"/>
          <w:sz w:val="17"/>
          <w:szCs w:val="17"/>
          <w:lang w:eastAsia="es-CO" w:bidi="ar-SA"/>
        </w:rPr>
        <w:t xml:space="preserve"> and</w:t>
      </w:r>
      <w:r w:rsidR="00154F6D" w:rsidRPr="0047242B">
        <w:rPr>
          <w:rFonts w:ascii="Verdana" w:hAnsi="Verdana"/>
          <w:snapToGrid/>
          <w:color w:val="111111"/>
          <w:sz w:val="17"/>
          <w:szCs w:val="17"/>
          <w:lang w:eastAsia="es-CO" w:bidi="ar-SA"/>
        </w:rPr>
        <w:t xml:space="preserve"> </w:t>
      </w:r>
      <w:r w:rsidRPr="0047242B">
        <w:rPr>
          <w:rFonts w:ascii="Verdana" w:hAnsi="Verdana"/>
          <w:snapToGrid/>
          <w:color w:val="111111"/>
          <w:sz w:val="17"/>
          <w:szCs w:val="17"/>
          <w:lang w:eastAsia="es-CO" w:bidi="ar-SA"/>
        </w:rPr>
        <w:t>G.</w:t>
      </w:r>
      <w:r w:rsidR="00154F6D" w:rsidRPr="0047242B">
        <w:rPr>
          <w:rFonts w:ascii="Verdana" w:hAnsi="Verdana"/>
          <w:snapToGrid/>
          <w:color w:val="111111"/>
          <w:sz w:val="17"/>
          <w:szCs w:val="17"/>
          <w:lang w:eastAsia="es-CO" w:bidi="ar-SA"/>
        </w:rPr>
        <w:t xml:space="preserve"> </w:t>
      </w:r>
      <w:proofErr w:type="spellStart"/>
      <w:r w:rsidR="00154F6D" w:rsidRPr="0047242B">
        <w:rPr>
          <w:rFonts w:ascii="Verdana" w:hAnsi="Verdana"/>
          <w:snapToGrid/>
          <w:color w:val="111111"/>
          <w:sz w:val="17"/>
          <w:szCs w:val="17"/>
          <w:lang w:eastAsia="es-CO" w:bidi="ar-SA"/>
        </w:rPr>
        <w:t>Shrimali</w:t>
      </w:r>
      <w:proofErr w:type="spellEnd"/>
      <w:r w:rsidR="00154F6D" w:rsidRPr="0047242B">
        <w:rPr>
          <w:rFonts w:ascii="Verdana" w:hAnsi="Verdana"/>
          <w:snapToGrid/>
          <w:color w:val="111111"/>
          <w:sz w:val="17"/>
          <w:szCs w:val="17"/>
          <w:lang w:eastAsia="es-CO" w:bidi="ar-SA"/>
        </w:rPr>
        <w:t xml:space="preserve">, </w:t>
      </w:r>
      <w:r w:rsidRPr="0047242B">
        <w:rPr>
          <w:rFonts w:ascii="Verdana" w:hAnsi="Verdana"/>
          <w:snapToGrid/>
          <w:color w:val="111111"/>
          <w:sz w:val="17"/>
          <w:szCs w:val="17"/>
          <w:lang w:eastAsia="es-CO" w:bidi="ar-SA"/>
        </w:rPr>
        <w:t>“</w:t>
      </w:r>
      <w:r w:rsidR="00154F6D" w:rsidRPr="0047242B">
        <w:rPr>
          <w:rFonts w:ascii="Verdana" w:hAnsi="Verdana"/>
          <w:snapToGrid/>
          <w:color w:val="111111"/>
          <w:sz w:val="17"/>
          <w:szCs w:val="17"/>
          <w:lang w:eastAsia="es-CO" w:bidi="ar-SA"/>
        </w:rPr>
        <w:t>Making renewable energy competitive in India: Reducing financing costs via a government-sponsored hedging facility</w:t>
      </w:r>
      <w:r w:rsidRPr="0047242B">
        <w:rPr>
          <w:rFonts w:ascii="Verdana" w:hAnsi="Verdana"/>
          <w:snapToGrid/>
          <w:color w:val="111111"/>
          <w:sz w:val="17"/>
          <w:szCs w:val="17"/>
          <w:lang w:eastAsia="es-CO" w:bidi="ar-SA"/>
        </w:rPr>
        <w:t>,”</w:t>
      </w:r>
      <w:r w:rsidR="009137AE">
        <w:rPr>
          <w:rFonts w:ascii="Verdana" w:hAnsi="Verdana"/>
          <w:snapToGrid/>
          <w:color w:val="111111"/>
          <w:sz w:val="17"/>
          <w:szCs w:val="17"/>
          <w:lang w:eastAsia="es-CO" w:bidi="ar-SA"/>
        </w:rPr>
        <w:t xml:space="preserve"> in press,</w:t>
      </w:r>
      <w:r w:rsidR="00154F6D" w:rsidRPr="0047242B">
        <w:rPr>
          <w:rFonts w:ascii="Verdana" w:hAnsi="Verdana"/>
          <w:snapToGrid/>
          <w:color w:val="111111"/>
          <w:sz w:val="17"/>
          <w:szCs w:val="17"/>
          <w:lang w:eastAsia="es-CO" w:bidi="ar-SA"/>
        </w:rPr>
        <w:t xml:space="preserve"> </w:t>
      </w:r>
      <w:r w:rsidR="00154F6D" w:rsidRPr="0047242B">
        <w:rPr>
          <w:rFonts w:ascii="Verdana" w:hAnsi="Verdana"/>
          <w:i/>
          <w:snapToGrid/>
          <w:color w:val="111111"/>
          <w:sz w:val="17"/>
          <w:szCs w:val="17"/>
          <w:lang w:eastAsia="es-CO" w:bidi="ar-SA"/>
        </w:rPr>
        <w:t>Energy Policy</w:t>
      </w:r>
      <w:r w:rsidR="00154F6D" w:rsidRPr="0047242B">
        <w:rPr>
          <w:rFonts w:ascii="Verdana" w:hAnsi="Verdana"/>
          <w:snapToGrid/>
          <w:color w:val="111111"/>
          <w:sz w:val="17"/>
          <w:szCs w:val="17"/>
          <w:lang w:eastAsia="es-CO" w:bidi="ar-SA"/>
        </w:rPr>
        <w:t xml:space="preserve"> 2016</w:t>
      </w:r>
      <w:r w:rsidRPr="0047242B">
        <w:rPr>
          <w:rFonts w:ascii="Verdana" w:hAnsi="Verdana"/>
          <w:snapToGrid/>
          <w:color w:val="111111"/>
          <w:sz w:val="17"/>
          <w:szCs w:val="17"/>
          <w:lang w:eastAsia="es-CO" w:bidi="ar-SA"/>
        </w:rPr>
        <w:t>.</w:t>
      </w:r>
      <w:r w:rsidR="009137AE">
        <w:rPr>
          <w:rFonts w:ascii="Verdana" w:hAnsi="Verdana"/>
          <w:snapToGrid/>
          <w:color w:val="111111"/>
          <w:sz w:val="17"/>
          <w:szCs w:val="17"/>
          <w:lang w:eastAsia="es-CO" w:bidi="ar-SA"/>
        </w:rPr>
        <w:t xml:space="preserve"> </w:t>
      </w:r>
    </w:p>
    <w:p w:rsidR="00424973" w:rsidRDefault="00424973" w:rsidP="00A1619C">
      <w:pPr>
        <w:pStyle w:val="NormalWeb"/>
        <w:shd w:val="clear" w:color="auto" w:fill="FFFFFF"/>
        <w:spacing w:before="240" w:beforeAutospacing="0" w:after="240" w:afterAutospacing="0"/>
        <w:ind w:right="150"/>
        <w:rPr>
          <w:rFonts w:ascii="Verdana" w:hAnsi="Verdana"/>
          <w:color w:val="111111"/>
          <w:sz w:val="17"/>
          <w:szCs w:val="17"/>
          <w:lang w:val="en-US"/>
        </w:rPr>
      </w:pPr>
    </w:p>
    <w:p w:rsidR="00424973" w:rsidRDefault="00424973" w:rsidP="00A1619C">
      <w:pPr>
        <w:pStyle w:val="NormalWeb"/>
        <w:shd w:val="clear" w:color="auto" w:fill="FFFFFF"/>
        <w:spacing w:before="240" w:beforeAutospacing="0" w:after="240" w:afterAutospacing="0"/>
        <w:ind w:right="150"/>
        <w:rPr>
          <w:rFonts w:ascii="Verdana" w:hAnsi="Verdana"/>
          <w:color w:val="111111"/>
          <w:sz w:val="17"/>
          <w:szCs w:val="17"/>
          <w:lang w:val="en-US"/>
        </w:rPr>
      </w:pPr>
    </w:p>
    <w:p w:rsidR="00424973" w:rsidRDefault="00424973" w:rsidP="00A1619C">
      <w:pPr>
        <w:pStyle w:val="NormalWeb"/>
        <w:shd w:val="clear" w:color="auto" w:fill="FFFFFF"/>
        <w:spacing w:before="240" w:beforeAutospacing="0" w:after="240" w:afterAutospacing="0"/>
        <w:ind w:right="150"/>
        <w:rPr>
          <w:rFonts w:ascii="Verdana" w:hAnsi="Verdana"/>
          <w:color w:val="111111"/>
          <w:sz w:val="17"/>
          <w:szCs w:val="17"/>
          <w:lang w:val="en-US"/>
        </w:rPr>
      </w:pPr>
    </w:p>
    <w:p w:rsidR="00424973" w:rsidRDefault="00424973" w:rsidP="00A1619C">
      <w:pPr>
        <w:pStyle w:val="NormalWeb"/>
        <w:shd w:val="clear" w:color="auto" w:fill="FFFFFF"/>
        <w:spacing w:before="240" w:beforeAutospacing="0" w:after="240" w:afterAutospacing="0"/>
        <w:ind w:right="150"/>
        <w:rPr>
          <w:rFonts w:ascii="Verdana" w:hAnsi="Verdana"/>
          <w:color w:val="111111"/>
          <w:sz w:val="17"/>
          <w:szCs w:val="17"/>
          <w:lang w:val="en-US"/>
        </w:rPr>
      </w:pPr>
    </w:p>
    <w:sectPr w:rsidR="00424973" w:rsidSect="0037064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EDD" w:rsidRDefault="00754EDD" w:rsidP="00E33858">
      <w:pPr>
        <w:spacing w:after="0" w:line="240" w:lineRule="auto"/>
      </w:pPr>
      <w:r>
        <w:separator/>
      </w:r>
    </w:p>
  </w:endnote>
  <w:endnote w:type="continuationSeparator" w:id="0">
    <w:p w:rsidR="00754EDD" w:rsidRDefault="00754EDD" w:rsidP="00E3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Condensed">
    <w:panose1 w:val="020B0606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EDD" w:rsidRDefault="00754EDD" w:rsidP="00E33858">
      <w:pPr>
        <w:spacing w:after="0" w:line="240" w:lineRule="auto"/>
      </w:pPr>
      <w:r>
        <w:separator/>
      </w:r>
    </w:p>
  </w:footnote>
  <w:footnote w:type="continuationSeparator" w:id="0">
    <w:p w:rsidR="00754EDD" w:rsidRDefault="00754EDD" w:rsidP="00E33858">
      <w:pPr>
        <w:spacing w:after="0" w:line="240" w:lineRule="auto"/>
      </w:pPr>
      <w:r>
        <w:continuationSeparator/>
      </w:r>
    </w:p>
  </w:footnote>
  <w:footnote w:id="1">
    <w:p w:rsidR="0012272B" w:rsidRPr="0039123B" w:rsidRDefault="0012272B" w:rsidP="0039123B">
      <w:pPr>
        <w:pStyle w:val="Textonotapie"/>
        <w:rPr>
          <w:lang w:val="en-US"/>
        </w:rPr>
      </w:pPr>
      <w:r>
        <w:rPr>
          <w:rStyle w:val="Refdenotaalpie"/>
        </w:rPr>
        <w:footnoteRef/>
      </w:r>
      <w:r>
        <w:rPr>
          <w:lang w:val="en-US"/>
        </w:rPr>
        <w:t xml:space="preserve"> </w:t>
      </w:r>
      <w:proofErr w:type="gramStart"/>
      <w:r w:rsidRPr="0039123B">
        <w:rPr>
          <w:lang w:val="en-US"/>
        </w:rPr>
        <w:t xml:space="preserve">Submitted on: </w:t>
      </w:r>
      <w:r>
        <w:rPr>
          <w:lang w:val="en-US"/>
        </w:rPr>
        <w:t>__________</w:t>
      </w:r>
      <w:r w:rsidRPr="0039123B">
        <w:rPr>
          <w:lang w:val="en-US"/>
        </w:rPr>
        <w:t>.</w:t>
      </w:r>
      <w:proofErr w:type="gramEnd"/>
      <w:r w:rsidRPr="0039123B">
        <w:rPr>
          <w:lang w:val="en-US"/>
        </w:rPr>
        <w:t xml:space="preserve"> </w:t>
      </w:r>
      <w:proofErr w:type="gramStart"/>
      <w:r w:rsidRPr="0039123B">
        <w:rPr>
          <w:lang w:val="en-US"/>
        </w:rPr>
        <w:t xml:space="preserve">Accepted on: </w:t>
      </w:r>
      <w:r w:rsidR="00AC17A4">
        <w:rPr>
          <w:lang w:val="en-US"/>
        </w:rPr>
        <w:t>____________</w:t>
      </w:r>
      <w:r>
        <w:rPr>
          <w:lang w:val="en-US"/>
        </w:rPr>
        <w:t>.</w:t>
      </w:r>
      <w:proofErr w:type="gramEnd"/>
    </w:p>
  </w:footnote>
  <w:footnote w:id="2">
    <w:p w:rsidR="0012272B" w:rsidRDefault="0012272B">
      <w:pPr>
        <w:pStyle w:val="Textonotapie"/>
      </w:pPr>
      <w:r>
        <w:rPr>
          <w:rStyle w:val="Refdenotaalpie"/>
        </w:rPr>
        <w:footnoteRef/>
      </w:r>
      <w:r w:rsidRPr="00F97075">
        <w:rPr>
          <w:lang w:val="en-US"/>
        </w:rPr>
        <w:t xml:space="preserve"> Fecha de recepción: ________. </w:t>
      </w:r>
      <w:r w:rsidRPr="00E33858">
        <w:t xml:space="preserve">Fecha de aceptación: </w:t>
      </w:r>
      <w:r>
        <w:t>__________</w:t>
      </w:r>
      <w:r w:rsidRPr="00E3385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A42"/>
    <w:multiLevelType w:val="multilevel"/>
    <w:tmpl w:val="2AE87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672A3"/>
    <w:multiLevelType w:val="hybridMultilevel"/>
    <w:tmpl w:val="54386B34"/>
    <w:lvl w:ilvl="0" w:tplc="268414CC">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
    <w:nsid w:val="140E7E5D"/>
    <w:multiLevelType w:val="multilevel"/>
    <w:tmpl w:val="9192365E"/>
    <w:lvl w:ilvl="0">
      <w:start w:val="1"/>
      <w:numFmt w:val="decimal"/>
      <w:lvlText w:val="%1."/>
      <w:lvlJc w:val="left"/>
      <w:pPr>
        <w:ind w:left="786" w:hanging="360"/>
      </w:pPr>
      <w:rPr>
        <w:lang w:val="en-US"/>
      </w:rPr>
    </w:lvl>
    <w:lvl w:ilvl="1">
      <w:start w:val="1"/>
      <w:numFmt w:val="decimal"/>
      <w:isLgl/>
      <w:lvlText w:val="%2."/>
      <w:lvlJc w:val="left"/>
      <w:pPr>
        <w:ind w:left="1080" w:hanging="360"/>
      </w:pPr>
      <w:rPr>
        <w:rFonts w:ascii="Times New Roman" w:eastAsia="Calibri" w:hAnsi="Times New Roman" w:cs="Times New Roman"/>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nsid w:val="1C5C342F"/>
    <w:multiLevelType w:val="multilevel"/>
    <w:tmpl w:val="3C283D4E"/>
    <w:lvl w:ilvl="0">
      <w:start w:val="2"/>
      <w:numFmt w:val="decimal"/>
      <w:lvlText w:val="%1"/>
      <w:lvlJc w:val="left"/>
      <w:pPr>
        <w:ind w:left="360" w:hanging="360"/>
      </w:pPr>
      <w:rPr>
        <w:rFonts w:eastAsia="Calibri" w:hint="default"/>
      </w:rPr>
    </w:lvl>
    <w:lvl w:ilvl="1">
      <w:start w:val="1"/>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4">
    <w:nsid w:val="23A5395A"/>
    <w:multiLevelType w:val="multilevel"/>
    <w:tmpl w:val="2AE87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2187B"/>
    <w:multiLevelType w:val="multilevel"/>
    <w:tmpl w:val="ACE8C33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nsid w:val="3ED40ACC"/>
    <w:multiLevelType w:val="hybridMultilevel"/>
    <w:tmpl w:val="793445F4"/>
    <w:lvl w:ilvl="0" w:tplc="C3CE3EA4">
      <w:start w:val="1"/>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0D84495"/>
    <w:multiLevelType w:val="hybridMultilevel"/>
    <w:tmpl w:val="B5B43C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6F53A67"/>
    <w:multiLevelType w:val="hybridMultilevel"/>
    <w:tmpl w:val="700C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A64097E"/>
    <w:multiLevelType w:val="multilevel"/>
    <w:tmpl w:val="A2DC56A0"/>
    <w:lvl w:ilvl="0">
      <w:start w:val="3"/>
      <w:numFmt w:val="decimal"/>
      <w:lvlText w:val="%1"/>
      <w:lvlJc w:val="left"/>
      <w:pPr>
        <w:ind w:left="480" w:hanging="480"/>
      </w:pPr>
      <w:rPr>
        <w:rFonts w:eastAsiaTheme="minorHAnsi" w:hint="default"/>
        <w:b/>
      </w:rPr>
    </w:lvl>
    <w:lvl w:ilvl="1">
      <w:start w:val="3"/>
      <w:numFmt w:val="decimal"/>
      <w:lvlText w:val="%1.%2"/>
      <w:lvlJc w:val="left"/>
      <w:pPr>
        <w:ind w:left="480" w:hanging="480"/>
      </w:pPr>
      <w:rPr>
        <w:rFonts w:eastAsiaTheme="minorHAnsi" w:hint="default"/>
        <w:b/>
      </w:rPr>
    </w:lvl>
    <w:lvl w:ilvl="2">
      <w:start w:val="4"/>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nsid w:val="612D4883"/>
    <w:multiLevelType w:val="multilevel"/>
    <w:tmpl w:val="0018D568"/>
    <w:lvl w:ilvl="0">
      <w:start w:val="1"/>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13">
    <w:nsid w:val="637E2578"/>
    <w:multiLevelType w:val="hybridMultilevel"/>
    <w:tmpl w:val="66F402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3"/>
  </w:num>
  <w:num w:numId="6">
    <w:abstractNumId w:val="6"/>
  </w:num>
  <w:num w:numId="7">
    <w:abstractNumId w:val="0"/>
  </w:num>
  <w:num w:numId="8">
    <w:abstractNumId w:val="13"/>
  </w:num>
  <w:num w:numId="9">
    <w:abstractNumId w:val="5"/>
  </w:num>
  <w:num w:numId="10">
    <w:abstractNumId w:val="9"/>
  </w:num>
  <w:num w:numId="11">
    <w:abstractNumId w:val="7"/>
  </w:num>
  <w:num w:numId="12">
    <w:abstractNumId w:val="10"/>
  </w:num>
  <w:num w:numId="13">
    <w:abstractNumId w:val="4"/>
  </w:num>
  <w:num w:numId="14">
    <w:abstractNumId w:val="11"/>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8"/>
    <w:rsid w:val="00014DD2"/>
    <w:rsid w:val="00034139"/>
    <w:rsid w:val="00061407"/>
    <w:rsid w:val="000649A1"/>
    <w:rsid w:val="00081EE2"/>
    <w:rsid w:val="00084B6F"/>
    <w:rsid w:val="000C5C52"/>
    <w:rsid w:val="000D49F7"/>
    <w:rsid w:val="000F34D6"/>
    <w:rsid w:val="00103054"/>
    <w:rsid w:val="00113B5C"/>
    <w:rsid w:val="00121FAC"/>
    <w:rsid w:val="0012272B"/>
    <w:rsid w:val="00125A45"/>
    <w:rsid w:val="00130339"/>
    <w:rsid w:val="001465CC"/>
    <w:rsid w:val="00146932"/>
    <w:rsid w:val="00154F6D"/>
    <w:rsid w:val="00155A43"/>
    <w:rsid w:val="00161D39"/>
    <w:rsid w:val="00175D2E"/>
    <w:rsid w:val="001B799D"/>
    <w:rsid w:val="001C1D47"/>
    <w:rsid w:val="001D5B39"/>
    <w:rsid w:val="001D700C"/>
    <w:rsid w:val="002102BA"/>
    <w:rsid w:val="00212E88"/>
    <w:rsid w:val="00213959"/>
    <w:rsid w:val="00230F81"/>
    <w:rsid w:val="00232A6C"/>
    <w:rsid w:val="00236408"/>
    <w:rsid w:val="00251D23"/>
    <w:rsid w:val="00255D2B"/>
    <w:rsid w:val="00262D96"/>
    <w:rsid w:val="002A6CFA"/>
    <w:rsid w:val="002B35A3"/>
    <w:rsid w:val="002C26C8"/>
    <w:rsid w:val="002E5187"/>
    <w:rsid w:val="002F0A49"/>
    <w:rsid w:val="00315206"/>
    <w:rsid w:val="00343D88"/>
    <w:rsid w:val="00370647"/>
    <w:rsid w:val="00375BE8"/>
    <w:rsid w:val="0039123B"/>
    <w:rsid w:val="003E325C"/>
    <w:rsid w:val="004035B3"/>
    <w:rsid w:val="00415719"/>
    <w:rsid w:val="00417E1A"/>
    <w:rsid w:val="00424973"/>
    <w:rsid w:val="00442310"/>
    <w:rsid w:val="00451DD1"/>
    <w:rsid w:val="00457E92"/>
    <w:rsid w:val="0046315E"/>
    <w:rsid w:val="0047242B"/>
    <w:rsid w:val="00477E12"/>
    <w:rsid w:val="004B4023"/>
    <w:rsid w:val="004D5AE3"/>
    <w:rsid w:val="004E5074"/>
    <w:rsid w:val="00502794"/>
    <w:rsid w:val="005307F4"/>
    <w:rsid w:val="005369A1"/>
    <w:rsid w:val="00564F6D"/>
    <w:rsid w:val="00582F8F"/>
    <w:rsid w:val="005A61AA"/>
    <w:rsid w:val="005C14AF"/>
    <w:rsid w:val="005C1A0A"/>
    <w:rsid w:val="005D1851"/>
    <w:rsid w:val="00602740"/>
    <w:rsid w:val="0061035D"/>
    <w:rsid w:val="006133C9"/>
    <w:rsid w:val="00635E83"/>
    <w:rsid w:val="00655716"/>
    <w:rsid w:val="006C48EF"/>
    <w:rsid w:val="006D5EC3"/>
    <w:rsid w:val="007051DA"/>
    <w:rsid w:val="00711B3D"/>
    <w:rsid w:val="00754EDD"/>
    <w:rsid w:val="00755A3A"/>
    <w:rsid w:val="00756794"/>
    <w:rsid w:val="00761EE1"/>
    <w:rsid w:val="00762FBA"/>
    <w:rsid w:val="0079218B"/>
    <w:rsid w:val="007B27FE"/>
    <w:rsid w:val="007C59BB"/>
    <w:rsid w:val="007E5056"/>
    <w:rsid w:val="00816D4B"/>
    <w:rsid w:val="00823169"/>
    <w:rsid w:val="00841E31"/>
    <w:rsid w:val="00862F76"/>
    <w:rsid w:val="0089427A"/>
    <w:rsid w:val="008B353A"/>
    <w:rsid w:val="008C3E85"/>
    <w:rsid w:val="008D2BFB"/>
    <w:rsid w:val="008F6D94"/>
    <w:rsid w:val="009137AE"/>
    <w:rsid w:val="00922FE5"/>
    <w:rsid w:val="00923C3F"/>
    <w:rsid w:val="009514D1"/>
    <w:rsid w:val="00990940"/>
    <w:rsid w:val="009D4040"/>
    <w:rsid w:val="009D44F3"/>
    <w:rsid w:val="009E148F"/>
    <w:rsid w:val="009E72E9"/>
    <w:rsid w:val="00A00863"/>
    <w:rsid w:val="00A1619C"/>
    <w:rsid w:val="00A2044C"/>
    <w:rsid w:val="00A34F83"/>
    <w:rsid w:val="00A938E7"/>
    <w:rsid w:val="00A94274"/>
    <w:rsid w:val="00AA2617"/>
    <w:rsid w:val="00AB031A"/>
    <w:rsid w:val="00AB4E46"/>
    <w:rsid w:val="00AC17A4"/>
    <w:rsid w:val="00AC1A0D"/>
    <w:rsid w:val="00AD47C6"/>
    <w:rsid w:val="00B1334D"/>
    <w:rsid w:val="00B319F1"/>
    <w:rsid w:val="00B31DC5"/>
    <w:rsid w:val="00B424BC"/>
    <w:rsid w:val="00B56B3F"/>
    <w:rsid w:val="00B7129C"/>
    <w:rsid w:val="00B73087"/>
    <w:rsid w:val="00B979A0"/>
    <w:rsid w:val="00BF13CD"/>
    <w:rsid w:val="00C164C3"/>
    <w:rsid w:val="00C24471"/>
    <w:rsid w:val="00C31FF2"/>
    <w:rsid w:val="00C75C0F"/>
    <w:rsid w:val="00C822F7"/>
    <w:rsid w:val="00C855B5"/>
    <w:rsid w:val="00CA1A8C"/>
    <w:rsid w:val="00CA5708"/>
    <w:rsid w:val="00CB4445"/>
    <w:rsid w:val="00CC0BA6"/>
    <w:rsid w:val="00CC1FC8"/>
    <w:rsid w:val="00CC5D09"/>
    <w:rsid w:val="00CD62CC"/>
    <w:rsid w:val="00CE3774"/>
    <w:rsid w:val="00CE7C36"/>
    <w:rsid w:val="00D27DD4"/>
    <w:rsid w:val="00D34CC4"/>
    <w:rsid w:val="00D434F4"/>
    <w:rsid w:val="00D436DC"/>
    <w:rsid w:val="00D525D3"/>
    <w:rsid w:val="00E03173"/>
    <w:rsid w:val="00E21926"/>
    <w:rsid w:val="00E33858"/>
    <w:rsid w:val="00E42007"/>
    <w:rsid w:val="00E47C3C"/>
    <w:rsid w:val="00E92B1B"/>
    <w:rsid w:val="00EB063D"/>
    <w:rsid w:val="00F25D3A"/>
    <w:rsid w:val="00F55AAF"/>
    <w:rsid w:val="00F60C98"/>
    <w:rsid w:val="00F87463"/>
    <w:rsid w:val="00F97075"/>
    <w:rsid w:val="00FA4264"/>
    <w:rsid w:val="00FA69C9"/>
    <w:rsid w:val="00FB7331"/>
    <w:rsid w:val="00FE3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C59BB"/>
    <w:pPr>
      <w:keepNext/>
      <w:spacing w:before="240" w:after="60"/>
      <w:outlineLvl w:val="0"/>
    </w:pPr>
    <w:rPr>
      <w:rFonts w:ascii="Arial" w:eastAsia="Calibri" w:hAnsi="Arial" w:cs="Arial"/>
      <w:b/>
      <w:bCs/>
      <w:kern w:val="32"/>
      <w:sz w:val="32"/>
      <w:szCs w:val="32"/>
    </w:rPr>
  </w:style>
  <w:style w:type="paragraph" w:styleId="Ttulo2">
    <w:name w:val="heading 2"/>
    <w:basedOn w:val="Normal"/>
    <w:next w:val="Normal"/>
    <w:link w:val="Ttulo2Car"/>
    <w:qFormat/>
    <w:rsid w:val="007C59BB"/>
    <w:pPr>
      <w:keepNext/>
      <w:spacing w:before="240" w:after="60"/>
      <w:outlineLvl w:val="1"/>
    </w:pPr>
    <w:rPr>
      <w:rFonts w:ascii="Arial" w:eastAsia="Calibri"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33858"/>
    <w:pPr>
      <w:spacing w:after="0" w:line="240" w:lineRule="auto"/>
    </w:pPr>
    <w:rPr>
      <w:sz w:val="20"/>
      <w:szCs w:val="20"/>
    </w:rPr>
  </w:style>
  <w:style w:type="character" w:customStyle="1" w:styleId="TextonotapieCar">
    <w:name w:val="Texto nota pie Car"/>
    <w:basedOn w:val="Fuentedeprrafopredeter"/>
    <w:link w:val="Textonotapie"/>
    <w:uiPriority w:val="99"/>
    <w:rsid w:val="00E33858"/>
    <w:rPr>
      <w:sz w:val="20"/>
      <w:szCs w:val="20"/>
    </w:rPr>
  </w:style>
  <w:style w:type="character" w:styleId="Refdenotaalpie">
    <w:name w:val="footnote reference"/>
    <w:basedOn w:val="Fuentedeprrafopredeter"/>
    <w:uiPriority w:val="99"/>
    <w:semiHidden/>
    <w:unhideWhenUsed/>
    <w:rsid w:val="00E33858"/>
    <w:rPr>
      <w:vertAlign w:val="superscript"/>
    </w:rPr>
  </w:style>
  <w:style w:type="paragraph" w:styleId="Prrafodelista">
    <w:name w:val="List Paragraph"/>
    <w:basedOn w:val="Normal"/>
    <w:uiPriority w:val="34"/>
    <w:qFormat/>
    <w:rsid w:val="007C59BB"/>
    <w:pPr>
      <w:ind w:left="720"/>
      <w:contextualSpacing/>
    </w:pPr>
  </w:style>
  <w:style w:type="character" w:customStyle="1" w:styleId="Ttulo1Car">
    <w:name w:val="Título 1 Car"/>
    <w:basedOn w:val="Fuentedeprrafopredeter"/>
    <w:link w:val="Ttulo1"/>
    <w:rsid w:val="007C59BB"/>
    <w:rPr>
      <w:rFonts w:ascii="Arial" w:eastAsia="Calibri" w:hAnsi="Arial" w:cs="Arial"/>
      <w:b/>
      <w:bCs/>
      <w:kern w:val="32"/>
      <w:sz w:val="32"/>
      <w:szCs w:val="32"/>
    </w:rPr>
  </w:style>
  <w:style w:type="character" w:customStyle="1" w:styleId="Ttulo2Car">
    <w:name w:val="Título 2 Car"/>
    <w:basedOn w:val="Fuentedeprrafopredeter"/>
    <w:link w:val="Ttulo2"/>
    <w:rsid w:val="007C59BB"/>
    <w:rPr>
      <w:rFonts w:ascii="Arial" w:eastAsia="Calibri" w:hAnsi="Arial" w:cs="Arial"/>
      <w:b/>
      <w:bCs/>
      <w:i/>
      <w:iCs/>
      <w:sz w:val="28"/>
      <w:szCs w:val="28"/>
    </w:rPr>
  </w:style>
  <w:style w:type="paragraph" w:styleId="Textodeglobo">
    <w:name w:val="Balloon Text"/>
    <w:basedOn w:val="Normal"/>
    <w:link w:val="TextodegloboCar"/>
    <w:uiPriority w:val="99"/>
    <w:semiHidden/>
    <w:unhideWhenUsed/>
    <w:rsid w:val="00B56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3F"/>
    <w:rPr>
      <w:rFonts w:ascii="Tahoma" w:hAnsi="Tahoma" w:cs="Tahoma"/>
      <w:sz w:val="16"/>
      <w:szCs w:val="16"/>
    </w:rPr>
  </w:style>
  <w:style w:type="character" w:styleId="Hipervnculo">
    <w:name w:val="Hyperlink"/>
    <w:basedOn w:val="Fuentedeprrafopredeter"/>
    <w:uiPriority w:val="99"/>
    <w:unhideWhenUsed/>
    <w:rsid w:val="00C822F7"/>
    <w:rPr>
      <w:color w:val="0000FF" w:themeColor="hyperlink"/>
      <w:u w:val="single"/>
    </w:rPr>
  </w:style>
  <w:style w:type="character" w:styleId="Hipervnculovisitado">
    <w:name w:val="FollowedHyperlink"/>
    <w:basedOn w:val="Fuentedeprrafopredeter"/>
    <w:uiPriority w:val="99"/>
    <w:semiHidden/>
    <w:unhideWhenUsed/>
    <w:rsid w:val="00C822F7"/>
    <w:rPr>
      <w:color w:val="800080" w:themeColor="followedHyperlink"/>
      <w:u w:val="single"/>
    </w:rPr>
  </w:style>
  <w:style w:type="paragraph" w:styleId="Mapadeldocumento">
    <w:name w:val="Document Map"/>
    <w:basedOn w:val="Normal"/>
    <w:link w:val="MapadeldocumentoCar"/>
    <w:uiPriority w:val="99"/>
    <w:semiHidden/>
    <w:unhideWhenUsed/>
    <w:rsid w:val="00CE7C3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E7C36"/>
    <w:rPr>
      <w:rFonts w:ascii="Tahoma" w:hAnsi="Tahoma" w:cs="Tahoma"/>
      <w:sz w:val="16"/>
      <w:szCs w:val="16"/>
    </w:rPr>
  </w:style>
  <w:style w:type="paragraph" w:styleId="NormalWeb">
    <w:name w:val="Normal (Web)"/>
    <w:basedOn w:val="Normal"/>
    <w:uiPriority w:val="99"/>
    <w:unhideWhenUsed/>
    <w:rsid w:val="00A16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1619C"/>
  </w:style>
  <w:style w:type="character" w:styleId="nfasis">
    <w:name w:val="Emphasis"/>
    <w:basedOn w:val="Fuentedeprrafopredeter"/>
    <w:uiPriority w:val="20"/>
    <w:qFormat/>
    <w:rsid w:val="00A1619C"/>
    <w:rPr>
      <w:i/>
      <w:iCs/>
    </w:rPr>
  </w:style>
  <w:style w:type="paragraph" w:customStyle="1" w:styleId="MDPI71References">
    <w:name w:val="MDPI_7.1_References"/>
    <w:basedOn w:val="Normal"/>
    <w:qFormat/>
    <w:rsid w:val="00424973"/>
    <w:pPr>
      <w:numPr>
        <w:numId w:val="9"/>
      </w:numPr>
      <w:adjustRightInd w:val="0"/>
      <w:snapToGrid w:val="0"/>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7abstract">
    <w:name w:val="MDPI_1.7_abstract"/>
    <w:basedOn w:val="Normal"/>
    <w:next w:val="Normal"/>
    <w:qFormat/>
    <w:rsid w:val="0079218B"/>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character" w:styleId="Refdecomentario">
    <w:name w:val="annotation reference"/>
    <w:basedOn w:val="Fuentedeprrafopredeter"/>
    <w:uiPriority w:val="99"/>
    <w:semiHidden/>
    <w:unhideWhenUsed/>
    <w:rsid w:val="0079218B"/>
    <w:rPr>
      <w:sz w:val="16"/>
      <w:szCs w:val="16"/>
    </w:rPr>
  </w:style>
  <w:style w:type="paragraph" w:styleId="Textocomentario">
    <w:name w:val="annotation text"/>
    <w:basedOn w:val="Normal"/>
    <w:link w:val="TextocomentarioCar"/>
    <w:uiPriority w:val="99"/>
    <w:semiHidden/>
    <w:unhideWhenUsed/>
    <w:rsid w:val="007921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218B"/>
    <w:rPr>
      <w:sz w:val="20"/>
      <w:szCs w:val="20"/>
    </w:rPr>
  </w:style>
  <w:style w:type="paragraph" w:styleId="Asuntodelcomentario">
    <w:name w:val="annotation subject"/>
    <w:basedOn w:val="Textocomentario"/>
    <w:next w:val="Textocomentario"/>
    <w:link w:val="AsuntodelcomentarioCar"/>
    <w:uiPriority w:val="99"/>
    <w:semiHidden/>
    <w:unhideWhenUsed/>
    <w:rsid w:val="0079218B"/>
    <w:rPr>
      <w:b/>
      <w:bCs/>
    </w:rPr>
  </w:style>
  <w:style w:type="character" w:customStyle="1" w:styleId="AsuntodelcomentarioCar">
    <w:name w:val="Asunto del comentario Car"/>
    <w:basedOn w:val="TextocomentarioCar"/>
    <w:link w:val="Asuntodelcomentario"/>
    <w:uiPriority w:val="99"/>
    <w:semiHidden/>
    <w:rsid w:val="0079218B"/>
    <w:rPr>
      <w:b/>
      <w:bCs/>
      <w:sz w:val="20"/>
      <w:szCs w:val="20"/>
    </w:rPr>
  </w:style>
  <w:style w:type="paragraph" w:customStyle="1" w:styleId="MDPI18keywords">
    <w:name w:val="MDPI_1.8_keywords"/>
    <w:basedOn w:val="Normal"/>
    <w:next w:val="Normal"/>
    <w:qFormat/>
    <w:rsid w:val="0079218B"/>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customStyle="1" w:styleId="MDPI31text">
    <w:name w:val="MDPI_3.1_text"/>
    <w:qFormat/>
    <w:rsid w:val="003E325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basedOn w:val="Normal"/>
    <w:qFormat/>
    <w:rsid w:val="00B31DC5"/>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table" w:styleId="Tablaconcuadrcula">
    <w:name w:val="Table Grid"/>
    <w:basedOn w:val="Tablanormal"/>
    <w:uiPriority w:val="59"/>
    <w:rsid w:val="00014DD2"/>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3textspaceafter">
    <w:name w:val="MDPI_3.3_text_space_after"/>
    <w:basedOn w:val="MDPI31text"/>
    <w:qFormat/>
    <w:rsid w:val="00014DD2"/>
    <w:pPr>
      <w:spacing w:after="240"/>
    </w:pPr>
  </w:style>
  <w:style w:type="paragraph" w:customStyle="1" w:styleId="MDPI35textbeforelist">
    <w:name w:val="MDPI_3.5_text_before_list"/>
    <w:basedOn w:val="MDPI31text"/>
    <w:qFormat/>
    <w:rsid w:val="00014DD2"/>
    <w:pPr>
      <w:spacing w:after="120"/>
    </w:pPr>
  </w:style>
  <w:style w:type="paragraph" w:customStyle="1" w:styleId="MDPI38bullet">
    <w:name w:val="MDPI_3.8_bullet"/>
    <w:basedOn w:val="MDPI31text"/>
    <w:qFormat/>
    <w:rsid w:val="00014DD2"/>
    <w:pPr>
      <w:numPr>
        <w:numId w:val="11"/>
      </w:numPr>
      <w:ind w:left="425" w:hanging="425"/>
    </w:pPr>
  </w:style>
  <w:style w:type="paragraph" w:customStyle="1" w:styleId="MDPI39equation">
    <w:name w:val="MDPI_3.9_equation"/>
    <w:basedOn w:val="MDPI31text"/>
    <w:qFormat/>
    <w:rsid w:val="00014DD2"/>
    <w:pPr>
      <w:spacing w:before="120" w:after="120"/>
      <w:ind w:left="709" w:firstLine="0"/>
      <w:jc w:val="center"/>
    </w:pPr>
  </w:style>
  <w:style w:type="paragraph" w:customStyle="1" w:styleId="MDPI3aequationnumber">
    <w:name w:val="MDPI_3.a_equation_number"/>
    <w:basedOn w:val="MDPI31text"/>
    <w:qFormat/>
    <w:rsid w:val="00014DD2"/>
    <w:pPr>
      <w:spacing w:before="120" w:after="120" w:line="240" w:lineRule="auto"/>
      <w:ind w:firstLine="0"/>
      <w:jc w:val="right"/>
    </w:pPr>
  </w:style>
  <w:style w:type="table" w:customStyle="1" w:styleId="Mdeck5tablebodythreelines">
    <w:name w:val="M_deck_5_table_body_three_lines"/>
    <w:basedOn w:val="Tablanormal"/>
    <w:uiPriority w:val="99"/>
    <w:rsid w:val="0061035D"/>
    <w:pPr>
      <w:adjustRightInd w:val="0"/>
      <w:snapToGrid w:val="0"/>
      <w:spacing w:after="0" w:line="300" w:lineRule="exact"/>
      <w:jc w:val="center"/>
    </w:pPr>
    <w:rPr>
      <w:rFonts w:ascii="Times New Roma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61035D"/>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61035D"/>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23heading3">
    <w:name w:val="MDPI_2.3_heading3"/>
    <w:basedOn w:val="MDPI31text"/>
    <w:qFormat/>
    <w:rsid w:val="0061035D"/>
    <w:pPr>
      <w:spacing w:before="240" w:after="120"/>
      <w:ind w:firstLine="0"/>
      <w:jc w:val="left"/>
      <w:outlineLvl w:val="2"/>
    </w:pPr>
  </w:style>
  <w:style w:type="paragraph" w:customStyle="1" w:styleId="MDPI36textafterlist">
    <w:name w:val="MDPI_3.6_text_after_list"/>
    <w:basedOn w:val="MDPI31text"/>
    <w:qFormat/>
    <w:rsid w:val="00755A3A"/>
    <w:pPr>
      <w:spacing w:before="120"/>
    </w:pPr>
  </w:style>
  <w:style w:type="paragraph" w:customStyle="1" w:styleId="MDPI62Acknowledgments">
    <w:name w:val="MDPI_6.2_Acknowledgments"/>
    <w:qFormat/>
    <w:rsid w:val="000D49F7"/>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author">
    <w:name w:val="M_author"/>
    <w:basedOn w:val="Normal"/>
    <w:rsid w:val="00154F6D"/>
    <w:pPr>
      <w:spacing w:before="240" w:after="240" w:line="340" w:lineRule="exact"/>
      <w:jc w:val="both"/>
    </w:pPr>
    <w:rPr>
      <w:rFonts w:ascii="Times New Roman" w:eastAsia="Times New Roman" w:hAnsi="Times New Roman" w:cs="Times New Roman"/>
      <w:b/>
      <w:color w:val="000000"/>
      <w:sz w:val="24"/>
      <w:szCs w:val="20"/>
      <w:lang w:val="it-IT" w:eastAsia="de-DE"/>
    </w:rPr>
  </w:style>
  <w:style w:type="character" w:styleId="Textodelmarcadordeposicin">
    <w:name w:val="Placeholder Text"/>
    <w:basedOn w:val="Fuentedeprrafopredeter"/>
    <w:uiPriority w:val="99"/>
    <w:semiHidden/>
    <w:rsid w:val="001469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C59BB"/>
    <w:pPr>
      <w:keepNext/>
      <w:spacing w:before="240" w:after="60"/>
      <w:outlineLvl w:val="0"/>
    </w:pPr>
    <w:rPr>
      <w:rFonts w:ascii="Arial" w:eastAsia="Calibri" w:hAnsi="Arial" w:cs="Arial"/>
      <w:b/>
      <w:bCs/>
      <w:kern w:val="32"/>
      <w:sz w:val="32"/>
      <w:szCs w:val="32"/>
    </w:rPr>
  </w:style>
  <w:style w:type="paragraph" w:styleId="Ttulo2">
    <w:name w:val="heading 2"/>
    <w:basedOn w:val="Normal"/>
    <w:next w:val="Normal"/>
    <w:link w:val="Ttulo2Car"/>
    <w:qFormat/>
    <w:rsid w:val="007C59BB"/>
    <w:pPr>
      <w:keepNext/>
      <w:spacing w:before="240" w:after="60"/>
      <w:outlineLvl w:val="1"/>
    </w:pPr>
    <w:rPr>
      <w:rFonts w:ascii="Arial" w:eastAsia="Calibri"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33858"/>
    <w:pPr>
      <w:spacing w:after="0" w:line="240" w:lineRule="auto"/>
    </w:pPr>
    <w:rPr>
      <w:sz w:val="20"/>
      <w:szCs w:val="20"/>
    </w:rPr>
  </w:style>
  <w:style w:type="character" w:customStyle="1" w:styleId="TextonotapieCar">
    <w:name w:val="Texto nota pie Car"/>
    <w:basedOn w:val="Fuentedeprrafopredeter"/>
    <w:link w:val="Textonotapie"/>
    <w:uiPriority w:val="99"/>
    <w:rsid w:val="00E33858"/>
    <w:rPr>
      <w:sz w:val="20"/>
      <w:szCs w:val="20"/>
    </w:rPr>
  </w:style>
  <w:style w:type="character" w:styleId="Refdenotaalpie">
    <w:name w:val="footnote reference"/>
    <w:basedOn w:val="Fuentedeprrafopredeter"/>
    <w:uiPriority w:val="99"/>
    <w:semiHidden/>
    <w:unhideWhenUsed/>
    <w:rsid w:val="00E33858"/>
    <w:rPr>
      <w:vertAlign w:val="superscript"/>
    </w:rPr>
  </w:style>
  <w:style w:type="paragraph" w:styleId="Prrafodelista">
    <w:name w:val="List Paragraph"/>
    <w:basedOn w:val="Normal"/>
    <w:uiPriority w:val="34"/>
    <w:qFormat/>
    <w:rsid w:val="007C59BB"/>
    <w:pPr>
      <w:ind w:left="720"/>
      <w:contextualSpacing/>
    </w:pPr>
  </w:style>
  <w:style w:type="character" w:customStyle="1" w:styleId="Ttulo1Car">
    <w:name w:val="Título 1 Car"/>
    <w:basedOn w:val="Fuentedeprrafopredeter"/>
    <w:link w:val="Ttulo1"/>
    <w:rsid w:val="007C59BB"/>
    <w:rPr>
      <w:rFonts w:ascii="Arial" w:eastAsia="Calibri" w:hAnsi="Arial" w:cs="Arial"/>
      <w:b/>
      <w:bCs/>
      <w:kern w:val="32"/>
      <w:sz w:val="32"/>
      <w:szCs w:val="32"/>
    </w:rPr>
  </w:style>
  <w:style w:type="character" w:customStyle="1" w:styleId="Ttulo2Car">
    <w:name w:val="Título 2 Car"/>
    <w:basedOn w:val="Fuentedeprrafopredeter"/>
    <w:link w:val="Ttulo2"/>
    <w:rsid w:val="007C59BB"/>
    <w:rPr>
      <w:rFonts w:ascii="Arial" w:eastAsia="Calibri" w:hAnsi="Arial" w:cs="Arial"/>
      <w:b/>
      <w:bCs/>
      <w:i/>
      <w:iCs/>
      <w:sz w:val="28"/>
      <w:szCs w:val="28"/>
    </w:rPr>
  </w:style>
  <w:style w:type="paragraph" w:styleId="Textodeglobo">
    <w:name w:val="Balloon Text"/>
    <w:basedOn w:val="Normal"/>
    <w:link w:val="TextodegloboCar"/>
    <w:uiPriority w:val="99"/>
    <w:semiHidden/>
    <w:unhideWhenUsed/>
    <w:rsid w:val="00B56B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B3F"/>
    <w:rPr>
      <w:rFonts w:ascii="Tahoma" w:hAnsi="Tahoma" w:cs="Tahoma"/>
      <w:sz w:val="16"/>
      <w:szCs w:val="16"/>
    </w:rPr>
  </w:style>
  <w:style w:type="character" w:styleId="Hipervnculo">
    <w:name w:val="Hyperlink"/>
    <w:basedOn w:val="Fuentedeprrafopredeter"/>
    <w:uiPriority w:val="99"/>
    <w:unhideWhenUsed/>
    <w:rsid w:val="00C822F7"/>
    <w:rPr>
      <w:color w:val="0000FF" w:themeColor="hyperlink"/>
      <w:u w:val="single"/>
    </w:rPr>
  </w:style>
  <w:style w:type="character" w:styleId="Hipervnculovisitado">
    <w:name w:val="FollowedHyperlink"/>
    <w:basedOn w:val="Fuentedeprrafopredeter"/>
    <w:uiPriority w:val="99"/>
    <w:semiHidden/>
    <w:unhideWhenUsed/>
    <w:rsid w:val="00C822F7"/>
    <w:rPr>
      <w:color w:val="800080" w:themeColor="followedHyperlink"/>
      <w:u w:val="single"/>
    </w:rPr>
  </w:style>
  <w:style w:type="paragraph" w:styleId="Mapadeldocumento">
    <w:name w:val="Document Map"/>
    <w:basedOn w:val="Normal"/>
    <w:link w:val="MapadeldocumentoCar"/>
    <w:uiPriority w:val="99"/>
    <w:semiHidden/>
    <w:unhideWhenUsed/>
    <w:rsid w:val="00CE7C3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E7C36"/>
    <w:rPr>
      <w:rFonts w:ascii="Tahoma" w:hAnsi="Tahoma" w:cs="Tahoma"/>
      <w:sz w:val="16"/>
      <w:szCs w:val="16"/>
    </w:rPr>
  </w:style>
  <w:style w:type="paragraph" w:styleId="NormalWeb">
    <w:name w:val="Normal (Web)"/>
    <w:basedOn w:val="Normal"/>
    <w:uiPriority w:val="99"/>
    <w:unhideWhenUsed/>
    <w:rsid w:val="00A161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1619C"/>
  </w:style>
  <w:style w:type="character" w:styleId="nfasis">
    <w:name w:val="Emphasis"/>
    <w:basedOn w:val="Fuentedeprrafopredeter"/>
    <w:uiPriority w:val="20"/>
    <w:qFormat/>
    <w:rsid w:val="00A1619C"/>
    <w:rPr>
      <w:i/>
      <w:iCs/>
    </w:rPr>
  </w:style>
  <w:style w:type="paragraph" w:customStyle="1" w:styleId="MDPI71References">
    <w:name w:val="MDPI_7.1_References"/>
    <w:basedOn w:val="Normal"/>
    <w:qFormat/>
    <w:rsid w:val="00424973"/>
    <w:pPr>
      <w:numPr>
        <w:numId w:val="9"/>
      </w:numPr>
      <w:adjustRightInd w:val="0"/>
      <w:snapToGrid w:val="0"/>
      <w:spacing w:after="0" w:line="26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17abstract">
    <w:name w:val="MDPI_1.7_abstract"/>
    <w:basedOn w:val="Normal"/>
    <w:next w:val="Normal"/>
    <w:qFormat/>
    <w:rsid w:val="0079218B"/>
    <w:pPr>
      <w:adjustRightInd w:val="0"/>
      <w:snapToGrid w:val="0"/>
      <w:spacing w:before="240" w:after="0" w:line="260" w:lineRule="atLeast"/>
      <w:ind w:left="113"/>
      <w:jc w:val="both"/>
    </w:pPr>
    <w:rPr>
      <w:rFonts w:ascii="Palatino Linotype" w:eastAsia="Times New Roman" w:hAnsi="Palatino Linotype" w:cs="Times New Roman"/>
      <w:color w:val="000000"/>
      <w:sz w:val="20"/>
      <w:lang w:val="en-US" w:eastAsia="de-DE" w:bidi="en-US"/>
    </w:rPr>
  </w:style>
  <w:style w:type="character" w:styleId="Refdecomentario">
    <w:name w:val="annotation reference"/>
    <w:basedOn w:val="Fuentedeprrafopredeter"/>
    <w:uiPriority w:val="99"/>
    <w:semiHidden/>
    <w:unhideWhenUsed/>
    <w:rsid w:val="0079218B"/>
    <w:rPr>
      <w:sz w:val="16"/>
      <w:szCs w:val="16"/>
    </w:rPr>
  </w:style>
  <w:style w:type="paragraph" w:styleId="Textocomentario">
    <w:name w:val="annotation text"/>
    <w:basedOn w:val="Normal"/>
    <w:link w:val="TextocomentarioCar"/>
    <w:uiPriority w:val="99"/>
    <w:semiHidden/>
    <w:unhideWhenUsed/>
    <w:rsid w:val="007921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218B"/>
    <w:rPr>
      <w:sz w:val="20"/>
      <w:szCs w:val="20"/>
    </w:rPr>
  </w:style>
  <w:style w:type="paragraph" w:styleId="Asuntodelcomentario">
    <w:name w:val="annotation subject"/>
    <w:basedOn w:val="Textocomentario"/>
    <w:next w:val="Textocomentario"/>
    <w:link w:val="AsuntodelcomentarioCar"/>
    <w:uiPriority w:val="99"/>
    <w:semiHidden/>
    <w:unhideWhenUsed/>
    <w:rsid w:val="0079218B"/>
    <w:rPr>
      <w:b/>
      <w:bCs/>
    </w:rPr>
  </w:style>
  <w:style w:type="character" w:customStyle="1" w:styleId="AsuntodelcomentarioCar">
    <w:name w:val="Asunto del comentario Car"/>
    <w:basedOn w:val="TextocomentarioCar"/>
    <w:link w:val="Asuntodelcomentario"/>
    <w:uiPriority w:val="99"/>
    <w:semiHidden/>
    <w:rsid w:val="0079218B"/>
    <w:rPr>
      <w:b/>
      <w:bCs/>
      <w:sz w:val="20"/>
      <w:szCs w:val="20"/>
    </w:rPr>
  </w:style>
  <w:style w:type="paragraph" w:customStyle="1" w:styleId="MDPI18keywords">
    <w:name w:val="MDPI_1.8_keywords"/>
    <w:basedOn w:val="Normal"/>
    <w:next w:val="Normal"/>
    <w:qFormat/>
    <w:rsid w:val="0079218B"/>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val="en-US" w:eastAsia="de-DE" w:bidi="en-US"/>
    </w:rPr>
  </w:style>
  <w:style w:type="paragraph" w:customStyle="1" w:styleId="MDPI31text">
    <w:name w:val="MDPI_3.1_text"/>
    <w:qFormat/>
    <w:rsid w:val="003E325C"/>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2heading2">
    <w:name w:val="MDPI_2.2_heading2"/>
    <w:basedOn w:val="Normal"/>
    <w:qFormat/>
    <w:rsid w:val="00B31DC5"/>
    <w:pPr>
      <w:kinsoku w:val="0"/>
      <w:overflowPunct w:val="0"/>
      <w:autoSpaceDE w:val="0"/>
      <w:autoSpaceDN w:val="0"/>
      <w:adjustRightInd w:val="0"/>
      <w:snapToGrid w:val="0"/>
      <w:spacing w:before="240" w:after="120" w:line="260" w:lineRule="atLeast"/>
      <w:outlineLvl w:val="1"/>
    </w:pPr>
    <w:rPr>
      <w:rFonts w:ascii="Palatino Linotype" w:eastAsia="Times New Roman" w:hAnsi="Palatino Linotype" w:cs="Times New Roman"/>
      <w:i/>
      <w:noProof/>
      <w:snapToGrid w:val="0"/>
      <w:color w:val="000000"/>
      <w:sz w:val="20"/>
      <w:lang w:val="en-US" w:eastAsia="de-DE" w:bidi="en-US"/>
    </w:rPr>
  </w:style>
  <w:style w:type="table" w:styleId="Tablaconcuadrcula">
    <w:name w:val="Table Grid"/>
    <w:basedOn w:val="Tablanormal"/>
    <w:uiPriority w:val="59"/>
    <w:rsid w:val="00014DD2"/>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3textspaceafter">
    <w:name w:val="MDPI_3.3_text_space_after"/>
    <w:basedOn w:val="MDPI31text"/>
    <w:qFormat/>
    <w:rsid w:val="00014DD2"/>
    <w:pPr>
      <w:spacing w:after="240"/>
    </w:pPr>
  </w:style>
  <w:style w:type="paragraph" w:customStyle="1" w:styleId="MDPI35textbeforelist">
    <w:name w:val="MDPI_3.5_text_before_list"/>
    <w:basedOn w:val="MDPI31text"/>
    <w:qFormat/>
    <w:rsid w:val="00014DD2"/>
    <w:pPr>
      <w:spacing w:after="120"/>
    </w:pPr>
  </w:style>
  <w:style w:type="paragraph" w:customStyle="1" w:styleId="MDPI38bullet">
    <w:name w:val="MDPI_3.8_bullet"/>
    <w:basedOn w:val="MDPI31text"/>
    <w:qFormat/>
    <w:rsid w:val="00014DD2"/>
    <w:pPr>
      <w:numPr>
        <w:numId w:val="11"/>
      </w:numPr>
      <w:ind w:left="425" w:hanging="425"/>
    </w:pPr>
  </w:style>
  <w:style w:type="paragraph" w:customStyle="1" w:styleId="MDPI39equation">
    <w:name w:val="MDPI_3.9_equation"/>
    <w:basedOn w:val="MDPI31text"/>
    <w:qFormat/>
    <w:rsid w:val="00014DD2"/>
    <w:pPr>
      <w:spacing w:before="120" w:after="120"/>
      <w:ind w:left="709" w:firstLine="0"/>
      <w:jc w:val="center"/>
    </w:pPr>
  </w:style>
  <w:style w:type="paragraph" w:customStyle="1" w:styleId="MDPI3aequationnumber">
    <w:name w:val="MDPI_3.a_equation_number"/>
    <w:basedOn w:val="MDPI31text"/>
    <w:qFormat/>
    <w:rsid w:val="00014DD2"/>
    <w:pPr>
      <w:spacing w:before="120" w:after="120" w:line="240" w:lineRule="auto"/>
      <w:ind w:firstLine="0"/>
      <w:jc w:val="right"/>
    </w:pPr>
  </w:style>
  <w:style w:type="table" w:customStyle="1" w:styleId="Mdeck5tablebodythreelines">
    <w:name w:val="M_deck_5_table_body_three_lines"/>
    <w:basedOn w:val="Tablanormal"/>
    <w:uiPriority w:val="99"/>
    <w:rsid w:val="0061035D"/>
    <w:pPr>
      <w:adjustRightInd w:val="0"/>
      <w:snapToGrid w:val="0"/>
      <w:spacing w:after="0" w:line="300" w:lineRule="exact"/>
      <w:jc w:val="center"/>
    </w:pPr>
    <w:rPr>
      <w:rFonts w:ascii="Times New Roma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qFormat/>
    <w:rsid w:val="0061035D"/>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61035D"/>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23heading3">
    <w:name w:val="MDPI_2.3_heading3"/>
    <w:basedOn w:val="MDPI31text"/>
    <w:qFormat/>
    <w:rsid w:val="0061035D"/>
    <w:pPr>
      <w:spacing w:before="240" w:after="120"/>
      <w:ind w:firstLine="0"/>
      <w:jc w:val="left"/>
      <w:outlineLvl w:val="2"/>
    </w:pPr>
  </w:style>
  <w:style w:type="paragraph" w:customStyle="1" w:styleId="MDPI36textafterlist">
    <w:name w:val="MDPI_3.6_text_after_list"/>
    <w:basedOn w:val="MDPI31text"/>
    <w:qFormat/>
    <w:rsid w:val="00755A3A"/>
    <w:pPr>
      <w:spacing w:before="120"/>
    </w:pPr>
  </w:style>
  <w:style w:type="paragraph" w:customStyle="1" w:styleId="MDPI62Acknowledgments">
    <w:name w:val="MDPI_6.2_Acknowledgments"/>
    <w:qFormat/>
    <w:rsid w:val="000D49F7"/>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author">
    <w:name w:val="M_author"/>
    <w:basedOn w:val="Normal"/>
    <w:rsid w:val="00154F6D"/>
    <w:pPr>
      <w:spacing w:before="240" w:after="240" w:line="340" w:lineRule="exact"/>
      <w:jc w:val="both"/>
    </w:pPr>
    <w:rPr>
      <w:rFonts w:ascii="Times New Roman" w:eastAsia="Times New Roman" w:hAnsi="Times New Roman" w:cs="Times New Roman"/>
      <w:b/>
      <w:color w:val="000000"/>
      <w:sz w:val="24"/>
      <w:szCs w:val="20"/>
      <w:lang w:val="it-IT" w:eastAsia="de-DE"/>
    </w:rPr>
  </w:style>
  <w:style w:type="character" w:styleId="Textodelmarcadordeposicin">
    <w:name w:val="Placeholder Text"/>
    <w:basedOn w:val="Fuentedeprrafopredeter"/>
    <w:uiPriority w:val="99"/>
    <w:semiHidden/>
    <w:rsid w:val="00146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www.fedesarrollo.org.co/wp-content/uploads/2011/08/WWF_Analisis-costo-beneficio-energias-renovables-no-convencionales-en-Colombia.pdf" TargetMode="Externa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www.upme.gov.co/Atlas_Hidroenergetico/Atlas_p1-24.pdf"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Dropbox\Energies\LCO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Electrico03\Mis%20documentos\Dropbox\Energies\LCO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LCOE</a:t>
            </a:r>
          </a:p>
        </c:rich>
      </c:tx>
      <c:overlay val="0"/>
    </c:title>
    <c:autoTitleDeleted val="0"/>
    <c:plotArea>
      <c:layout/>
      <c:lineChart>
        <c:grouping val="standard"/>
        <c:varyColors val="0"/>
        <c:ser>
          <c:idx val="0"/>
          <c:order val="0"/>
          <c:tx>
            <c:strRef>
              <c:f>'K-Propio'!$H$51</c:f>
              <c:strCache>
                <c:ptCount val="1"/>
                <c:pt idx="0">
                  <c:v>Bio-Cogen</c:v>
                </c:pt>
              </c:strCache>
            </c:strRef>
          </c:tx>
          <c:spPr>
            <a:ln>
              <a:solidFill>
                <a:sysClr val="windowText" lastClr="000000"/>
              </a:solidFill>
              <a:prstDash val="sysDash"/>
            </a:ln>
          </c:spPr>
          <c:marker>
            <c:spPr>
              <a:solidFill>
                <a:schemeClr val="tx1"/>
              </a:solidFill>
              <a:ln>
                <a:solidFill>
                  <a:sysClr val="windowText" lastClr="000000"/>
                </a:solidFill>
              </a:ln>
            </c:spPr>
          </c:marker>
          <c:cat>
            <c:strRef>
              <c:f>'K-Propio'!$I$50:$L$50</c:f>
              <c:strCache>
                <c:ptCount val="4"/>
                <c:pt idx="0">
                  <c:v>Reference</c:v>
                </c:pt>
                <c:pt idx="1">
                  <c:v>Scenario 1</c:v>
                </c:pt>
                <c:pt idx="2">
                  <c:v>Scenario 2</c:v>
                </c:pt>
                <c:pt idx="3">
                  <c:v>Scenario 3</c:v>
                </c:pt>
              </c:strCache>
            </c:strRef>
          </c:cat>
          <c:val>
            <c:numRef>
              <c:f>'K-Propio'!$I$51:$L$51</c:f>
              <c:numCache>
                <c:formatCode>0.00</c:formatCode>
                <c:ptCount val="4"/>
                <c:pt idx="0">
                  <c:v>47.900692823739625</c:v>
                </c:pt>
                <c:pt idx="1">
                  <c:v>46.109569814200967</c:v>
                </c:pt>
                <c:pt idx="2">
                  <c:v>41.451035569550044</c:v>
                </c:pt>
                <c:pt idx="3">
                  <c:v>39.659912560011456</c:v>
                </c:pt>
              </c:numCache>
            </c:numRef>
          </c:val>
          <c:smooth val="0"/>
        </c:ser>
        <c:ser>
          <c:idx val="1"/>
          <c:order val="1"/>
          <c:tx>
            <c:strRef>
              <c:f>'K-Propio'!$H$52</c:f>
              <c:strCache>
                <c:ptCount val="1"/>
                <c:pt idx="0">
                  <c:v>Small-Hydro</c:v>
                </c:pt>
              </c:strCache>
            </c:strRef>
          </c:tx>
          <c:spPr>
            <a:ln>
              <a:solidFill>
                <a:sysClr val="windowText" lastClr="000000"/>
              </a:solidFill>
              <a:prstDash val="sysDot"/>
            </a:ln>
          </c:spPr>
          <c:marker>
            <c:symbol val="circle"/>
            <c:size val="3"/>
            <c:spPr>
              <a:solidFill>
                <a:schemeClr val="tx1"/>
              </a:solidFill>
              <a:ln>
                <a:solidFill>
                  <a:sysClr val="windowText" lastClr="000000"/>
                </a:solidFill>
              </a:ln>
            </c:spPr>
          </c:marker>
          <c:cat>
            <c:strRef>
              <c:f>'K-Propio'!$I$50:$L$50</c:f>
              <c:strCache>
                <c:ptCount val="4"/>
                <c:pt idx="0">
                  <c:v>Reference</c:v>
                </c:pt>
                <c:pt idx="1">
                  <c:v>Scenario 1</c:v>
                </c:pt>
                <c:pt idx="2">
                  <c:v>Scenario 2</c:v>
                </c:pt>
                <c:pt idx="3">
                  <c:v>Scenario 3</c:v>
                </c:pt>
              </c:strCache>
            </c:strRef>
          </c:cat>
          <c:val>
            <c:numRef>
              <c:f>'K-Propio'!$I$52:$L$52</c:f>
              <c:numCache>
                <c:formatCode>0.00</c:formatCode>
                <c:ptCount val="4"/>
                <c:pt idx="0">
                  <c:v>55.403180197585598</c:v>
                </c:pt>
                <c:pt idx="1">
                  <c:v>53.198310772554564</c:v>
                </c:pt>
                <c:pt idx="2">
                  <c:v>47.463662919341296</c:v>
                </c:pt>
                <c:pt idx="3">
                  <c:v>45.258793494310105</c:v>
                </c:pt>
              </c:numCache>
            </c:numRef>
          </c:val>
          <c:smooth val="0"/>
        </c:ser>
        <c:ser>
          <c:idx val="2"/>
          <c:order val="2"/>
          <c:tx>
            <c:strRef>
              <c:f>'K-Propio'!$H$53</c:f>
              <c:strCache>
                <c:ptCount val="1"/>
                <c:pt idx="0">
                  <c:v>Wind</c:v>
                </c:pt>
              </c:strCache>
            </c:strRef>
          </c:tx>
          <c:spPr>
            <a:ln>
              <a:solidFill>
                <a:schemeClr val="tx1"/>
              </a:solidFill>
            </a:ln>
          </c:spPr>
          <c:marker>
            <c:symbol val="triangle"/>
            <c:size val="7"/>
            <c:spPr>
              <a:solidFill>
                <a:schemeClr val="tx1"/>
              </a:solidFill>
              <a:ln>
                <a:solidFill>
                  <a:schemeClr val="tx1"/>
                </a:solidFill>
              </a:ln>
            </c:spPr>
          </c:marker>
          <c:cat>
            <c:strRef>
              <c:f>'K-Propio'!$I$50:$L$50</c:f>
              <c:strCache>
                <c:ptCount val="4"/>
                <c:pt idx="0">
                  <c:v>Reference</c:v>
                </c:pt>
                <c:pt idx="1">
                  <c:v>Scenario 1</c:v>
                </c:pt>
                <c:pt idx="2">
                  <c:v>Scenario 2</c:v>
                </c:pt>
                <c:pt idx="3">
                  <c:v>Scenario 3</c:v>
                </c:pt>
              </c:strCache>
            </c:strRef>
          </c:cat>
          <c:val>
            <c:numRef>
              <c:f>'K-Propio'!$I$53:$L$53</c:f>
              <c:numCache>
                <c:formatCode>0.00</c:formatCode>
                <c:ptCount val="4"/>
                <c:pt idx="0">
                  <c:v>92.797619267143659</c:v>
                </c:pt>
                <c:pt idx="1">
                  <c:v>88.87408798381631</c:v>
                </c:pt>
                <c:pt idx="2">
                  <c:v>78.669370191683299</c:v>
                </c:pt>
                <c:pt idx="3">
                  <c:v>74.745838908356689</c:v>
                </c:pt>
              </c:numCache>
            </c:numRef>
          </c:val>
          <c:smooth val="0"/>
        </c:ser>
        <c:ser>
          <c:idx val="3"/>
          <c:order val="3"/>
          <c:tx>
            <c:strRef>
              <c:f>'K-Propio'!$H$54</c:f>
              <c:strCache>
                <c:ptCount val="1"/>
                <c:pt idx="0">
                  <c:v>Bio-Forest</c:v>
                </c:pt>
              </c:strCache>
            </c:strRef>
          </c:tx>
          <c:spPr>
            <a:ln>
              <a:solidFill>
                <a:schemeClr val="tx1"/>
              </a:solidFill>
              <a:prstDash val="dash"/>
            </a:ln>
          </c:spPr>
          <c:marker>
            <c:spPr>
              <a:ln>
                <a:solidFill>
                  <a:prstClr val="black"/>
                </a:solidFill>
              </a:ln>
            </c:spPr>
          </c:marker>
          <c:cat>
            <c:strRef>
              <c:f>'K-Propio'!$I$50:$L$50</c:f>
              <c:strCache>
                <c:ptCount val="4"/>
                <c:pt idx="0">
                  <c:v>Reference</c:v>
                </c:pt>
                <c:pt idx="1">
                  <c:v>Scenario 1</c:v>
                </c:pt>
                <c:pt idx="2">
                  <c:v>Scenario 2</c:v>
                </c:pt>
                <c:pt idx="3">
                  <c:v>Scenario 3</c:v>
                </c:pt>
              </c:strCache>
            </c:strRef>
          </c:cat>
          <c:val>
            <c:numRef>
              <c:f>'K-Propio'!$I$54:$L$54</c:f>
              <c:numCache>
                <c:formatCode>0.00</c:formatCode>
                <c:ptCount val="4"/>
                <c:pt idx="0">
                  <c:v>97.014999574965927</c:v>
                </c:pt>
                <c:pt idx="1">
                  <c:v>94.589506289347142</c:v>
                </c:pt>
                <c:pt idx="2">
                  <c:v>88.281037540381789</c:v>
                </c:pt>
                <c:pt idx="3">
                  <c:v>85.855544254762819</c:v>
                </c:pt>
              </c:numCache>
            </c:numRef>
          </c:val>
          <c:smooth val="0"/>
        </c:ser>
        <c:ser>
          <c:idx val="4"/>
          <c:order val="4"/>
          <c:tx>
            <c:strRef>
              <c:f>'K-Propio'!$H$55</c:f>
              <c:strCache>
                <c:ptCount val="1"/>
                <c:pt idx="0">
                  <c:v>PV</c:v>
                </c:pt>
              </c:strCache>
            </c:strRef>
          </c:tx>
          <c:spPr>
            <a:ln>
              <a:solidFill>
                <a:schemeClr val="tx1"/>
              </a:solidFill>
            </a:ln>
          </c:spPr>
          <c:marker>
            <c:spPr>
              <a:ln>
                <a:solidFill>
                  <a:prstClr val="black"/>
                </a:solidFill>
              </a:ln>
            </c:spPr>
          </c:marker>
          <c:cat>
            <c:strRef>
              <c:f>'K-Propio'!$I$50:$L$50</c:f>
              <c:strCache>
                <c:ptCount val="4"/>
                <c:pt idx="0">
                  <c:v>Reference</c:v>
                </c:pt>
                <c:pt idx="1">
                  <c:v>Scenario 1</c:v>
                </c:pt>
                <c:pt idx="2">
                  <c:v>Scenario 2</c:v>
                </c:pt>
                <c:pt idx="3">
                  <c:v>Scenario 3</c:v>
                </c:pt>
              </c:strCache>
            </c:strRef>
          </c:cat>
          <c:val>
            <c:numRef>
              <c:f>'K-Propio'!$I$55:$L$55</c:f>
              <c:numCache>
                <c:formatCode>0.00</c:formatCode>
                <c:ptCount val="4"/>
                <c:pt idx="0">
                  <c:v>203.63406285764921</c:v>
                </c:pt>
                <c:pt idx="1">
                  <c:v>194.54571354137849</c:v>
                </c:pt>
                <c:pt idx="2">
                  <c:v>170.90781358045004</c:v>
                </c:pt>
                <c:pt idx="3">
                  <c:v>161.81946426417932</c:v>
                </c:pt>
              </c:numCache>
            </c:numRef>
          </c:val>
          <c:smooth val="0"/>
        </c:ser>
        <c:dLbls>
          <c:showLegendKey val="0"/>
          <c:showVal val="0"/>
          <c:showCatName val="0"/>
          <c:showSerName val="0"/>
          <c:showPercent val="0"/>
          <c:showBubbleSize val="0"/>
        </c:dLbls>
        <c:marker val="1"/>
        <c:smooth val="0"/>
        <c:axId val="399519744"/>
        <c:axId val="399521664"/>
      </c:lineChart>
      <c:catAx>
        <c:axId val="399519744"/>
        <c:scaling>
          <c:orientation val="minMax"/>
        </c:scaling>
        <c:delete val="0"/>
        <c:axPos val="b"/>
        <c:majorTickMark val="none"/>
        <c:minorTickMark val="none"/>
        <c:tickLblPos val="nextTo"/>
        <c:crossAx val="399521664"/>
        <c:crosses val="autoZero"/>
        <c:auto val="0"/>
        <c:lblAlgn val="ctr"/>
        <c:lblOffset val="100"/>
        <c:tickLblSkip val="1"/>
        <c:noMultiLvlLbl val="0"/>
      </c:catAx>
      <c:valAx>
        <c:axId val="399521664"/>
        <c:scaling>
          <c:orientation val="minMax"/>
        </c:scaling>
        <c:delete val="0"/>
        <c:axPos val="l"/>
        <c:majorGridlines/>
        <c:title>
          <c:tx>
            <c:rich>
              <a:bodyPr/>
              <a:lstStyle/>
              <a:p>
                <a:pPr>
                  <a:defRPr/>
                </a:pPr>
                <a:r>
                  <a:rPr lang="es-CO"/>
                  <a:t>US$</a:t>
                </a:r>
                <a:r>
                  <a:rPr lang="es-CO" baseline="0"/>
                  <a:t> / MWh</a:t>
                </a:r>
              </a:p>
            </c:rich>
          </c:tx>
          <c:overlay val="0"/>
        </c:title>
        <c:numFmt formatCode="0" sourceLinked="0"/>
        <c:majorTickMark val="none"/>
        <c:minorTickMark val="none"/>
        <c:tickLblPos val="nextTo"/>
        <c:crossAx val="399519744"/>
        <c:crosses val="autoZero"/>
        <c:crossBetween val="between"/>
      </c:valAx>
      <c:spPr>
        <a:noFill/>
        <a:ln>
          <a:noFill/>
        </a:ln>
      </c:spPr>
    </c:plotArea>
    <c:legend>
      <c:legendPos val="r"/>
      <c:overlay val="0"/>
    </c:legend>
    <c:plotVisOnly val="1"/>
    <c:dispBlanksAs val="gap"/>
    <c:showDLblsOverMax val="0"/>
  </c:chart>
  <c:spPr>
    <a:ln w="3175">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LCOE</a:t>
            </a:r>
          </a:p>
        </c:rich>
      </c:tx>
      <c:overlay val="0"/>
    </c:title>
    <c:autoTitleDeleted val="0"/>
    <c:plotArea>
      <c:layout/>
      <c:lineChart>
        <c:grouping val="standard"/>
        <c:varyColors val="0"/>
        <c:ser>
          <c:idx val="0"/>
          <c:order val="0"/>
          <c:tx>
            <c:strRef>
              <c:f>'K-Propio'!$S$51</c:f>
              <c:strCache>
                <c:ptCount val="1"/>
                <c:pt idx="0">
                  <c:v>Bio-Cogen</c:v>
                </c:pt>
              </c:strCache>
            </c:strRef>
          </c:tx>
          <c:spPr>
            <a:ln>
              <a:solidFill>
                <a:schemeClr val="tx1"/>
              </a:solidFill>
              <a:prstDash val="dash"/>
            </a:ln>
          </c:spPr>
          <c:marker>
            <c:symbol val="diamond"/>
            <c:size val="7"/>
            <c:spPr>
              <a:solidFill>
                <a:schemeClr val="tx1"/>
              </a:solidFill>
            </c:spPr>
          </c:marker>
          <c:cat>
            <c:strRef>
              <c:f>'K-Propio'!$T$50:$W$50</c:f>
              <c:strCache>
                <c:ptCount val="4"/>
                <c:pt idx="0">
                  <c:v>Reference</c:v>
                </c:pt>
                <c:pt idx="1">
                  <c:v>Scenario 1</c:v>
                </c:pt>
                <c:pt idx="2">
                  <c:v>Scenario 4</c:v>
                </c:pt>
                <c:pt idx="3">
                  <c:v>Scenario 5</c:v>
                </c:pt>
              </c:strCache>
            </c:strRef>
          </c:cat>
          <c:val>
            <c:numRef>
              <c:f>'K-Propio'!$T$51:$W$51</c:f>
              <c:numCache>
                <c:formatCode>0.00</c:formatCode>
                <c:ptCount val="4"/>
                <c:pt idx="0">
                  <c:v>47.900692823739625</c:v>
                </c:pt>
                <c:pt idx="1">
                  <c:v>46.109569814200967</c:v>
                </c:pt>
                <c:pt idx="2">
                  <c:v>42.347837479485008</c:v>
                </c:pt>
                <c:pt idx="3">
                  <c:v>36.377485571789968</c:v>
                </c:pt>
              </c:numCache>
            </c:numRef>
          </c:val>
          <c:smooth val="0"/>
        </c:ser>
        <c:ser>
          <c:idx val="1"/>
          <c:order val="1"/>
          <c:tx>
            <c:strRef>
              <c:f>'K-Propio'!$S$52</c:f>
              <c:strCache>
                <c:ptCount val="1"/>
                <c:pt idx="0">
                  <c:v>Small-Hydro</c:v>
                </c:pt>
              </c:strCache>
            </c:strRef>
          </c:tx>
          <c:spPr>
            <a:ln>
              <a:solidFill>
                <a:schemeClr val="tx1"/>
              </a:solidFill>
              <a:prstDash val="sysDot"/>
            </a:ln>
          </c:spPr>
          <c:marker>
            <c:symbol val="circle"/>
            <c:size val="4"/>
            <c:spPr>
              <a:solidFill>
                <a:schemeClr val="tx1"/>
              </a:solidFill>
              <a:ln>
                <a:solidFill>
                  <a:schemeClr val="tx1"/>
                </a:solidFill>
              </a:ln>
            </c:spPr>
          </c:marker>
          <c:cat>
            <c:strRef>
              <c:f>'K-Propio'!$T$50:$W$50</c:f>
              <c:strCache>
                <c:ptCount val="4"/>
                <c:pt idx="0">
                  <c:v>Reference</c:v>
                </c:pt>
                <c:pt idx="1">
                  <c:v>Scenario 1</c:v>
                </c:pt>
                <c:pt idx="2">
                  <c:v>Scenario 4</c:v>
                </c:pt>
                <c:pt idx="3">
                  <c:v>Scenario 5</c:v>
                </c:pt>
              </c:strCache>
            </c:strRef>
          </c:cat>
          <c:val>
            <c:numRef>
              <c:f>'K-Propio'!$T$52:$W$52</c:f>
              <c:numCache>
                <c:formatCode>0.00</c:formatCode>
                <c:ptCount val="4"/>
                <c:pt idx="0">
                  <c:v>55.403180197585598</c:v>
                </c:pt>
                <c:pt idx="1">
                  <c:v>53.198310772554436</c:v>
                </c:pt>
                <c:pt idx="2">
                  <c:v>48.567624568538335</c:v>
                </c:pt>
                <c:pt idx="3">
                  <c:v>39.312412320206903</c:v>
                </c:pt>
              </c:numCache>
            </c:numRef>
          </c:val>
          <c:smooth val="0"/>
        </c:ser>
        <c:ser>
          <c:idx val="2"/>
          <c:order val="2"/>
          <c:tx>
            <c:strRef>
              <c:f>'K-Propio'!$S$53</c:f>
              <c:strCache>
                <c:ptCount val="1"/>
                <c:pt idx="0">
                  <c:v>Wind</c:v>
                </c:pt>
              </c:strCache>
            </c:strRef>
          </c:tx>
          <c:spPr>
            <a:ln>
              <a:solidFill>
                <a:schemeClr val="tx1"/>
              </a:solidFill>
            </a:ln>
          </c:spPr>
          <c:marker>
            <c:symbol val="triangle"/>
            <c:size val="7"/>
            <c:spPr>
              <a:solidFill>
                <a:schemeClr val="tx1"/>
              </a:solidFill>
              <a:ln>
                <a:solidFill>
                  <a:schemeClr val="tx1"/>
                </a:solidFill>
              </a:ln>
            </c:spPr>
          </c:marker>
          <c:cat>
            <c:strRef>
              <c:f>'K-Propio'!$T$50:$W$50</c:f>
              <c:strCache>
                <c:ptCount val="4"/>
                <c:pt idx="0">
                  <c:v>Reference</c:v>
                </c:pt>
                <c:pt idx="1">
                  <c:v>Scenario 1</c:v>
                </c:pt>
                <c:pt idx="2">
                  <c:v>Scenario 4</c:v>
                </c:pt>
                <c:pt idx="3">
                  <c:v>Scenario 5</c:v>
                </c:pt>
              </c:strCache>
            </c:strRef>
          </c:cat>
          <c:val>
            <c:numRef>
              <c:f>'K-Propio'!$T$53:$W$53</c:f>
              <c:numCache>
                <c:formatCode>0.00</c:formatCode>
                <c:ptCount val="4"/>
                <c:pt idx="0">
                  <c:v>92.797619267143361</c:v>
                </c:pt>
                <c:pt idx="1">
                  <c:v>88.87408798381631</c:v>
                </c:pt>
                <c:pt idx="2">
                  <c:v>80.633852993723679</c:v>
                </c:pt>
                <c:pt idx="3">
                  <c:v>65.69401272343778</c:v>
                </c:pt>
              </c:numCache>
            </c:numRef>
          </c:val>
          <c:smooth val="0"/>
        </c:ser>
        <c:ser>
          <c:idx val="3"/>
          <c:order val="3"/>
          <c:tx>
            <c:strRef>
              <c:f>'K-Propio'!$S$54</c:f>
              <c:strCache>
                <c:ptCount val="1"/>
                <c:pt idx="0">
                  <c:v>Bio-Forest</c:v>
                </c:pt>
              </c:strCache>
            </c:strRef>
          </c:tx>
          <c:spPr>
            <a:ln>
              <a:solidFill>
                <a:schemeClr val="tx1"/>
              </a:solidFill>
              <a:prstDash val="dash"/>
            </a:ln>
          </c:spPr>
          <c:marker>
            <c:symbol val="x"/>
            <c:size val="7"/>
            <c:spPr>
              <a:noFill/>
              <a:ln>
                <a:solidFill>
                  <a:schemeClr val="tx1"/>
                </a:solidFill>
                <a:prstDash val="dash"/>
              </a:ln>
            </c:spPr>
          </c:marker>
          <c:cat>
            <c:strRef>
              <c:f>'K-Propio'!$T$50:$W$50</c:f>
              <c:strCache>
                <c:ptCount val="4"/>
                <c:pt idx="0">
                  <c:v>Reference</c:v>
                </c:pt>
                <c:pt idx="1">
                  <c:v>Scenario 1</c:v>
                </c:pt>
                <c:pt idx="2">
                  <c:v>Scenario 4</c:v>
                </c:pt>
                <c:pt idx="3">
                  <c:v>Scenario 5</c:v>
                </c:pt>
              </c:strCache>
            </c:strRef>
          </c:cat>
          <c:val>
            <c:numRef>
              <c:f>'K-Propio'!$T$54:$W$54</c:f>
              <c:numCache>
                <c:formatCode>0.00</c:formatCode>
                <c:ptCount val="4"/>
                <c:pt idx="0">
                  <c:v>97.014999574965927</c:v>
                </c:pt>
                <c:pt idx="1">
                  <c:v>94.589506289346943</c:v>
                </c:pt>
                <c:pt idx="2">
                  <c:v>89.495463908360819</c:v>
                </c:pt>
                <c:pt idx="3">
                  <c:v>82.805916138218919</c:v>
                </c:pt>
              </c:numCache>
            </c:numRef>
          </c:val>
          <c:smooth val="0"/>
        </c:ser>
        <c:ser>
          <c:idx val="4"/>
          <c:order val="4"/>
          <c:tx>
            <c:strRef>
              <c:f>'K-Propio'!$S$55</c:f>
              <c:strCache>
                <c:ptCount val="1"/>
                <c:pt idx="0">
                  <c:v>PV</c:v>
                </c:pt>
              </c:strCache>
            </c:strRef>
          </c:tx>
          <c:spPr>
            <a:ln>
              <a:solidFill>
                <a:schemeClr val="tx1"/>
              </a:solidFill>
            </a:ln>
          </c:spPr>
          <c:marker>
            <c:symbol val="star"/>
            <c:size val="7"/>
            <c:spPr>
              <a:noFill/>
              <a:ln>
                <a:solidFill>
                  <a:schemeClr val="tx1"/>
                </a:solidFill>
              </a:ln>
            </c:spPr>
          </c:marker>
          <c:cat>
            <c:strRef>
              <c:f>'K-Propio'!$T$50:$W$50</c:f>
              <c:strCache>
                <c:ptCount val="4"/>
                <c:pt idx="0">
                  <c:v>Reference</c:v>
                </c:pt>
                <c:pt idx="1">
                  <c:v>Scenario 1</c:v>
                </c:pt>
                <c:pt idx="2">
                  <c:v>Scenario 4</c:v>
                </c:pt>
                <c:pt idx="3">
                  <c:v>Scenario 5</c:v>
                </c:pt>
              </c:strCache>
            </c:strRef>
          </c:cat>
          <c:val>
            <c:numRef>
              <c:f>'K-Propio'!$T$55:$W$55</c:f>
              <c:numCache>
                <c:formatCode>0.00</c:formatCode>
                <c:ptCount val="4"/>
                <c:pt idx="0">
                  <c:v>203.63406285764918</c:v>
                </c:pt>
                <c:pt idx="1">
                  <c:v>194.54571354137892</c:v>
                </c:pt>
                <c:pt idx="2">
                  <c:v>175.45828218678329</c:v>
                </c:pt>
                <c:pt idx="3">
                  <c:v>140.85208758789534</c:v>
                </c:pt>
              </c:numCache>
            </c:numRef>
          </c:val>
          <c:smooth val="0"/>
        </c:ser>
        <c:dLbls>
          <c:showLegendKey val="0"/>
          <c:showVal val="0"/>
          <c:showCatName val="0"/>
          <c:showSerName val="0"/>
          <c:showPercent val="0"/>
          <c:showBubbleSize val="0"/>
        </c:dLbls>
        <c:marker val="1"/>
        <c:smooth val="0"/>
        <c:axId val="399557760"/>
        <c:axId val="399559680"/>
      </c:lineChart>
      <c:catAx>
        <c:axId val="399557760"/>
        <c:scaling>
          <c:orientation val="minMax"/>
        </c:scaling>
        <c:delete val="0"/>
        <c:axPos val="b"/>
        <c:numFmt formatCode="General" sourceLinked="0"/>
        <c:majorTickMark val="none"/>
        <c:minorTickMark val="none"/>
        <c:tickLblPos val="nextTo"/>
        <c:crossAx val="399559680"/>
        <c:crosses val="autoZero"/>
        <c:auto val="1"/>
        <c:lblAlgn val="ctr"/>
        <c:lblOffset val="100"/>
        <c:noMultiLvlLbl val="0"/>
      </c:catAx>
      <c:valAx>
        <c:axId val="399559680"/>
        <c:scaling>
          <c:orientation val="minMax"/>
        </c:scaling>
        <c:delete val="0"/>
        <c:axPos val="l"/>
        <c:majorGridlines/>
        <c:title>
          <c:tx>
            <c:rich>
              <a:bodyPr/>
              <a:lstStyle/>
              <a:p>
                <a:pPr>
                  <a:defRPr/>
                </a:pPr>
                <a:r>
                  <a:rPr lang="es-CO"/>
                  <a:t>US</a:t>
                </a:r>
                <a:r>
                  <a:rPr lang="es-CO" baseline="0"/>
                  <a:t>$ / MWh</a:t>
                </a:r>
                <a:endParaRPr lang="es-CO"/>
              </a:p>
            </c:rich>
          </c:tx>
          <c:overlay val="0"/>
        </c:title>
        <c:numFmt formatCode="0" sourceLinked="0"/>
        <c:majorTickMark val="none"/>
        <c:minorTickMark val="none"/>
        <c:tickLblPos val="nextTo"/>
        <c:txPr>
          <a:bodyPr/>
          <a:lstStyle/>
          <a:p>
            <a:pPr>
              <a:defRPr baseline="0"/>
            </a:pPr>
            <a:endParaRPr lang="es-ES"/>
          </a:p>
        </c:txPr>
        <c:crossAx val="399557760"/>
        <c:crosses val="autoZero"/>
        <c:crossBetween val="between"/>
      </c:valAx>
    </c:plotArea>
    <c:legend>
      <c:legendPos val="r"/>
      <c:overlay val="0"/>
    </c:legend>
    <c:plotVisOnly val="1"/>
    <c:dispBlanksAs val="gap"/>
    <c:showDLblsOverMax val="0"/>
  </c:chart>
  <c:spPr>
    <a:ln w="3175">
      <a:solidFill>
        <a:schemeClr val="tx1"/>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9139-63BD-4BF0-9CCA-9ED3A556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4986</Words>
  <Characters>27427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Reista Ingenieria</dc:creator>
  <cp:lastModifiedBy>Ingeniería Eléctrica</cp:lastModifiedBy>
  <cp:revision>4</cp:revision>
  <dcterms:created xsi:type="dcterms:W3CDTF">2016-07-25T15:19:00Z</dcterms:created>
  <dcterms:modified xsi:type="dcterms:W3CDTF">2016-07-25T15:20:00Z</dcterms:modified>
</cp:coreProperties>
</file>