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D6" w:rsidRPr="009C5C34" w:rsidRDefault="00356FD6" w:rsidP="00356FD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9C5C34">
        <w:rPr>
          <w:rFonts w:ascii="Times New Roman" w:hAnsi="Times New Roman" w:cs="Times New Roman"/>
          <w:sz w:val="24"/>
          <w:szCs w:val="24"/>
          <w:lang w:val="en-GB"/>
        </w:rPr>
        <w:t>Table 1.</w:t>
      </w:r>
      <w:proofErr w:type="gramEnd"/>
      <w:r w:rsidRPr="009C5C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9C5C34">
        <w:rPr>
          <w:rFonts w:ascii="Times New Roman" w:hAnsi="Times New Roman" w:cs="Times New Roman"/>
          <w:sz w:val="24"/>
          <w:szCs w:val="24"/>
          <w:lang w:val="en-GB"/>
        </w:rPr>
        <w:t>Mathematical formulae to calculate loss of mechanical resistance of wood in living trees.</w:t>
      </w:r>
      <w:proofErr w:type="gramEnd"/>
    </w:p>
    <w:tbl>
      <w:tblPr>
        <w:tblW w:w="8789" w:type="dxa"/>
        <w:jc w:val="center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5"/>
        <w:gridCol w:w="1294"/>
        <w:gridCol w:w="1089"/>
        <w:gridCol w:w="4721"/>
      </w:tblGrid>
      <w:tr w:rsidR="009C5C34" w:rsidRPr="009C5C34" w:rsidTr="00E13CA2">
        <w:trPr>
          <w:trHeight w:val="385"/>
          <w:jc w:val="center"/>
        </w:trPr>
        <w:tc>
          <w:tcPr>
            <w:tcW w:w="1685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356FD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Source</w:t>
            </w:r>
          </w:p>
        </w:tc>
        <w:tc>
          <w:tcPr>
            <w:tcW w:w="1294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356FD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F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o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rmula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e</w:t>
            </w:r>
          </w:p>
        </w:tc>
        <w:tc>
          <w:tcPr>
            <w:tcW w:w="1089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T</w:t>
            </w:r>
            <w:r w:rsid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h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 xml:space="preserve">reshold </w:t>
            </w:r>
          </w:p>
        </w:tc>
        <w:tc>
          <w:tcPr>
            <w:tcW w:w="4721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Comment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s</w:t>
            </w:r>
          </w:p>
        </w:tc>
      </w:tr>
      <w:tr w:rsidR="009C5C34" w:rsidRPr="009C5C34" w:rsidTr="00E13CA2">
        <w:trPr>
          <w:trHeight w:val="480"/>
          <w:jc w:val="center"/>
        </w:trPr>
        <w:tc>
          <w:tcPr>
            <w:tcW w:w="1685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Wagener, 1963</w:t>
            </w:r>
          </w:p>
        </w:tc>
        <w:tc>
          <w:tcPr>
            <w:tcW w:w="1294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(d</w:t>
            </w:r>
            <w:r w:rsidRPr="009C5C34">
              <w:rPr>
                <w:rFonts w:ascii="Arial" w:hAnsi="Arial" w:cs="Arial"/>
                <w:bCs/>
                <w:sz w:val="16"/>
                <w:szCs w:val="18"/>
                <w:vertAlign w:val="superscript"/>
                <w:lang w:val="en-GB"/>
              </w:rPr>
              <w:t>3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/D</w:t>
            </w:r>
            <w:r w:rsidRPr="009C5C34">
              <w:rPr>
                <w:rFonts w:ascii="Arial" w:hAnsi="Arial" w:cs="Arial"/>
                <w:bCs/>
                <w:sz w:val="16"/>
                <w:szCs w:val="18"/>
                <w:vertAlign w:val="superscript"/>
                <w:lang w:val="en-GB"/>
              </w:rPr>
              <w:t>3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) x 100</w:t>
            </w:r>
          </w:p>
        </w:tc>
        <w:tc>
          <w:tcPr>
            <w:tcW w:w="1089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33%</w:t>
            </w:r>
          </w:p>
        </w:tc>
        <w:tc>
          <w:tcPr>
            <w:tcW w:w="4721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9C5C34" w:rsidP="009C5C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US"/>
              </w:rPr>
              <w:t xml:space="preserve">Adjusted formula to account for discontinuities in trunks. Applied only to conifers without aggravating defects. </w:t>
            </w:r>
          </w:p>
        </w:tc>
      </w:tr>
      <w:tr w:rsidR="009C5C34" w:rsidRPr="009C5C34" w:rsidTr="00E13CA2">
        <w:trPr>
          <w:trHeight w:val="1041"/>
          <w:jc w:val="center"/>
        </w:trPr>
        <w:tc>
          <w:tcPr>
            <w:tcW w:w="1685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Coder ,1989</w:t>
            </w:r>
          </w:p>
        </w:tc>
        <w:tc>
          <w:tcPr>
            <w:tcW w:w="1294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(d</w:t>
            </w:r>
            <w:r w:rsidRPr="009C5C34">
              <w:rPr>
                <w:rFonts w:ascii="Arial" w:hAnsi="Arial" w:cs="Arial"/>
                <w:bCs/>
                <w:sz w:val="16"/>
                <w:szCs w:val="18"/>
                <w:vertAlign w:val="superscript"/>
                <w:lang w:val="en-GB"/>
              </w:rPr>
              <w:t>4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/D</w:t>
            </w:r>
            <w:r w:rsidRPr="009C5C34">
              <w:rPr>
                <w:rFonts w:ascii="Arial" w:hAnsi="Arial" w:cs="Arial"/>
                <w:bCs/>
                <w:sz w:val="16"/>
                <w:szCs w:val="18"/>
                <w:vertAlign w:val="superscript"/>
                <w:lang w:val="en-GB"/>
              </w:rPr>
              <w:t>4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) x 100</w:t>
            </w:r>
          </w:p>
        </w:tc>
        <w:tc>
          <w:tcPr>
            <w:tcW w:w="1089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20&lt;x&lt;44% Precau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t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i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o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n</w:t>
            </w:r>
          </w:p>
          <w:p w:rsidR="00356FD6" w:rsidRPr="009C5C34" w:rsidRDefault="00356FD6" w:rsidP="00356FD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x&gt;50% Danger</w:t>
            </w:r>
          </w:p>
        </w:tc>
        <w:tc>
          <w:tcPr>
            <w:tcW w:w="4721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9C5C34" w:rsidP="009C5C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Based on engineering formula for bending stress in a cylinder. T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h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reshold b</w:t>
            </w:r>
            <w:bookmarkStart w:id="0" w:name="_GoBack"/>
            <w:bookmarkEnd w:id="0"/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 xml:space="preserve">ased in experience. </w:t>
            </w:r>
          </w:p>
        </w:tc>
      </w:tr>
      <w:tr w:rsidR="009C5C34" w:rsidRPr="009C5C34" w:rsidTr="00E13CA2">
        <w:trPr>
          <w:trHeight w:val="538"/>
          <w:jc w:val="center"/>
        </w:trPr>
        <w:tc>
          <w:tcPr>
            <w:tcW w:w="1685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Smiley y Fraedrich, 1992</w:t>
            </w:r>
          </w:p>
        </w:tc>
        <w:tc>
          <w:tcPr>
            <w:tcW w:w="1294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(d</w:t>
            </w:r>
            <w:r w:rsidRPr="009C5C34">
              <w:rPr>
                <w:rFonts w:ascii="Arial" w:hAnsi="Arial" w:cs="Arial"/>
                <w:bCs/>
                <w:sz w:val="16"/>
                <w:szCs w:val="18"/>
                <w:vertAlign w:val="superscript"/>
                <w:lang w:val="en-GB"/>
              </w:rPr>
              <w:t>3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+r(D</w:t>
            </w:r>
            <w:r w:rsidRPr="009C5C34">
              <w:rPr>
                <w:rFonts w:ascii="Arial" w:hAnsi="Arial" w:cs="Arial"/>
                <w:bCs/>
                <w:sz w:val="16"/>
                <w:szCs w:val="18"/>
                <w:vertAlign w:val="superscript"/>
                <w:lang w:val="en-GB"/>
              </w:rPr>
              <w:t>3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-d</w:t>
            </w:r>
            <w:r w:rsidRPr="009C5C34">
              <w:rPr>
                <w:rFonts w:ascii="Arial" w:hAnsi="Arial" w:cs="Arial"/>
                <w:bCs/>
                <w:sz w:val="16"/>
                <w:szCs w:val="18"/>
                <w:vertAlign w:val="superscript"/>
                <w:lang w:val="en-GB"/>
              </w:rPr>
              <w:t>3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))/D</w:t>
            </w:r>
            <w:r w:rsidRPr="009C5C34">
              <w:rPr>
                <w:rFonts w:ascii="Arial" w:hAnsi="Arial" w:cs="Arial"/>
                <w:bCs/>
                <w:sz w:val="16"/>
                <w:szCs w:val="18"/>
                <w:vertAlign w:val="superscript"/>
                <w:lang w:val="en-GB"/>
              </w:rPr>
              <w:t>3</w:t>
            </w: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x100</w:t>
            </w:r>
          </w:p>
        </w:tc>
        <w:tc>
          <w:tcPr>
            <w:tcW w:w="1089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33%</w:t>
            </w:r>
          </w:p>
        </w:tc>
        <w:tc>
          <w:tcPr>
            <w:tcW w:w="4721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9C5C34" w:rsidP="009C5C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 xml:space="preserve">Modification of Wagener account for cavity openings. Using 33% strength loss as a threshold for action. </w:t>
            </w:r>
          </w:p>
        </w:tc>
      </w:tr>
      <w:tr w:rsidR="009C5C34" w:rsidRPr="009C5C34" w:rsidTr="00E13CA2">
        <w:trPr>
          <w:trHeight w:val="730"/>
          <w:jc w:val="center"/>
        </w:trPr>
        <w:tc>
          <w:tcPr>
            <w:tcW w:w="1685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Mattheck, Gerhardt y Breloer (1992)</w:t>
            </w:r>
          </w:p>
        </w:tc>
        <w:tc>
          <w:tcPr>
            <w:tcW w:w="1294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t/R</w:t>
            </w:r>
          </w:p>
        </w:tc>
        <w:tc>
          <w:tcPr>
            <w:tcW w:w="1089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E13C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>&lt;0.3</w:t>
            </w:r>
          </w:p>
        </w:tc>
        <w:tc>
          <w:tcPr>
            <w:tcW w:w="4721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FD6" w:rsidRPr="009C5C34" w:rsidRDefault="00356FD6" w:rsidP="009C5C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8"/>
                <w:lang w:val="en-GB"/>
              </w:rPr>
            </w:pPr>
            <w:r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 xml:space="preserve"> </w:t>
            </w:r>
            <w:r w:rsidR="009C5C34" w:rsidRPr="009C5C34">
              <w:rPr>
                <w:rFonts w:ascii="Arial" w:hAnsi="Arial" w:cs="Arial"/>
                <w:bCs/>
                <w:sz w:val="16"/>
                <w:szCs w:val="18"/>
                <w:lang w:val="en-GB"/>
              </w:rPr>
              <w:t xml:space="preserve">Based on buckling failure in cylinders. Measured t/r for fallen and standing trees. Using a t/r&lt;0.3 as a threshold for action. </w:t>
            </w:r>
          </w:p>
        </w:tc>
      </w:tr>
    </w:tbl>
    <w:p w:rsidR="00356FD6" w:rsidRPr="009C5C34" w:rsidRDefault="00356FD6" w:rsidP="00356FD6">
      <w:pPr>
        <w:spacing w:before="120" w:after="120" w:line="360" w:lineRule="auto"/>
        <w:jc w:val="both"/>
        <w:rPr>
          <w:rFonts w:ascii="Arial" w:eastAsia="Times New Roman" w:hAnsi="Arial" w:cs="Arial"/>
          <w:sz w:val="14"/>
          <w:szCs w:val="14"/>
          <w:lang w:val="en-GB"/>
        </w:rPr>
      </w:pPr>
      <w:r w:rsidRPr="009C5C34">
        <w:rPr>
          <w:rFonts w:ascii="Times New Roman" w:hAnsi="Times New Roman" w:cs="Times New Roman"/>
          <w:sz w:val="24"/>
          <w:szCs w:val="24"/>
          <w:lang w:val="en-GB"/>
        </w:rPr>
        <w:t>Source: Adapted from Harris et al. (</w:t>
      </w:r>
      <w:proofErr w:type="gramStart"/>
      <w:r w:rsidRPr="009C5C34">
        <w:rPr>
          <w:rFonts w:ascii="Times New Roman" w:hAnsi="Times New Roman" w:cs="Times New Roman"/>
          <w:sz w:val="24"/>
          <w:szCs w:val="24"/>
          <w:lang w:val="en-GB"/>
        </w:rPr>
        <w:t>2004 )</w:t>
      </w:r>
      <w:proofErr w:type="gramEnd"/>
      <w:r w:rsidRPr="009C5C3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007FAE" w:rsidRPr="00356FD6" w:rsidRDefault="00007FAE">
      <w:pPr>
        <w:rPr>
          <w:lang w:val="en-GB"/>
        </w:rPr>
      </w:pPr>
    </w:p>
    <w:sectPr w:rsidR="00007FAE" w:rsidRPr="00356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D6"/>
    <w:rsid w:val="00007FAE"/>
    <w:rsid w:val="00356FD6"/>
    <w:rsid w:val="009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D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D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dcterms:created xsi:type="dcterms:W3CDTF">2013-06-07T09:20:00Z</dcterms:created>
  <dcterms:modified xsi:type="dcterms:W3CDTF">2013-06-07T09:28:00Z</dcterms:modified>
</cp:coreProperties>
</file>