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B" w:rsidRDefault="00246C90">
      <w:r>
        <w:t>TABLAS Y FIGURA</w:t>
      </w:r>
    </w:p>
    <w:tbl>
      <w:tblPr>
        <w:tblStyle w:val="Sombreadoclaro-nfasis4"/>
        <w:tblW w:w="0" w:type="auto"/>
        <w:tblBorders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/>
      </w:tblPr>
      <w:tblGrid>
        <w:gridCol w:w="6928"/>
      </w:tblGrid>
      <w:tr w:rsidR="00246C90" w:rsidRPr="001311EA" w:rsidTr="00E553D4">
        <w:trPr>
          <w:cnfStyle w:val="100000000000"/>
        </w:trPr>
        <w:tc>
          <w:tcPr>
            <w:cnfStyle w:val="001000000000"/>
            <w:tcW w:w="0" w:type="auto"/>
            <w:tcBorders>
              <w:top w:val="single" w:sz="8" w:space="0" w:color="000000" w:themeColor="text1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</w:tcPr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Tabla  1: Escala de presencia social en EVEA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</w:p>
        </w:tc>
      </w:tr>
      <w:tr w:rsidR="00246C90" w:rsidRPr="001311EA" w:rsidTr="00E553D4">
        <w:trPr>
          <w:cnfStyle w:val="000000100000"/>
        </w:trPr>
        <w:tc>
          <w:tcPr>
            <w:cnfStyle w:val="001000000000"/>
            <w:tcW w:w="0" w:type="auto"/>
            <w:tcBorders>
              <w:top w:val="single" w:sz="8" w:space="0" w:color="000000" w:themeColor="text1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FFFFFF" w:themeFill="background1"/>
          </w:tcPr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1.  La otra persona es consciente de mi presencia.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2.  La presencia de la otra persona es evidente para mí.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3.  Mi presencia es evidente para la otra persona.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4.  La otra persona capta mi atención.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5.  Yo capto la atención de la otra persona.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6. Mis ideas resultan claras para la otra persona 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7. Las ideas de la otra persona resultan claras para mí 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8. Me resulta fácil comprender a la otra persona 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9. A la otra persona le resulta fácil comprenderme.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10. Podría explicar cómo se siente la otra persona.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11. La otra persona podría explicar cómo me siento yo.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12. Puedo describir con exactitud los sentimientos de la otra     persona. 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13. La otra persona puede describir con exactitud mis sentimientos.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14. A veces me influye el estado de ánimo de la otra persona.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15. Los sentimientos de la otra persona afectan al tono emocional de nuestra  interacción.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16. Mis sentimientos condicionan el tono de nuestra interacción.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17. Las actitudes de la otra persona influyen en cómo me siento.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18. Mis actitudes influyen en cómo se siente la otra persona.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19. El comportamiento de la otra persona es una respuesta directa de mi  comportamiento.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20. Correspondo a las acciones de la otra persona.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 xml:space="preserve">21. La otra persona corresponde a mis acciones. 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22. El comportamiento de la otra persona está estrechamente unido a mi  comportamiento.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A26D14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23. Mi comportamiento está estrechamente unido al comportamiento de la  otra persona</w:t>
            </w:r>
          </w:p>
          <w:p w:rsidR="00246C90" w:rsidRPr="00A26D14" w:rsidRDefault="00246C90" w:rsidP="00E553D4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before="39"/>
              <w:ind w:left="209" w:right="-57"/>
              <w:jc w:val="both"/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</w:p>
        </w:tc>
      </w:tr>
    </w:tbl>
    <w:p w:rsidR="00246C90" w:rsidRDefault="00246C90"/>
    <w:tbl>
      <w:tblPr>
        <w:tblStyle w:val="Sombreadoclaro-nfasis4"/>
        <w:tblW w:w="0" w:type="auto"/>
        <w:tblBorders>
          <w:top w:val="single" w:sz="8" w:space="0" w:color="000000" w:themeColor="text1"/>
          <w:bottom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/>
      </w:tblPr>
      <w:tblGrid>
        <w:gridCol w:w="9054"/>
      </w:tblGrid>
      <w:tr w:rsidR="00246C90" w:rsidTr="00E553D4">
        <w:trPr>
          <w:cnfStyle w:val="10000000000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46C90" w:rsidRPr="000A5BE9" w:rsidRDefault="00246C90" w:rsidP="00E553D4">
            <w:pPr>
              <w:jc w:val="center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Tabla 2: Escala de Aprendizaje Percibido</w:t>
            </w:r>
          </w:p>
          <w:p w:rsidR="00246C90" w:rsidRPr="000A5BE9" w:rsidRDefault="00246C90" w:rsidP="00E553D4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46C90" w:rsidTr="00E553D4">
        <w:trPr>
          <w:cnfStyle w:val="000000100000"/>
        </w:trPr>
        <w:tc>
          <w:tcPr>
            <w:cnfStyle w:val="00100000000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Yo he aprendido lo mismo o incluso más que en las clases presenciales.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La calidad del aprendizaje en estas clases fue excelente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Lo aprendido me permite un mejor desempeño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Realizo cosas que antes no sabía hacer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Con lo aprendido voy a sacar una buena calificación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He aprendido bastante con esta modalidad de trabajo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Lo que he aprendido me ha permitido afianzar mis conocimientos.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El tener que resolver los problemas sólo o en interacción con mis compañeros me permitió un mejor aprendizaje.</w:t>
            </w:r>
          </w:p>
          <w:p w:rsidR="00246C90" w:rsidRPr="000A5BE9" w:rsidRDefault="00246C90" w:rsidP="00246C90">
            <w:pPr>
              <w:numPr>
                <w:ilvl w:val="0"/>
                <w:numId w:val="1"/>
              </w:numPr>
              <w:jc w:val="both"/>
              <w:rPr>
                <w:color w:val="auto"/>
                <w:sz w:val="20"/>
                <w:szCs w:val="20"/>
              </w:rPr>
            </w:pPr>
            <w:r w:rsidRPr="000A5BE9">
              <w:rPr>
                <w:color w:val="auto"/>
                <w:sz w:val="20"/>
                <w:szCs w:val="20"/>
              </w:rPr>
              <w:t>El tener que adoptar un aprendizaje activo me permitió una mejor comprensión.</w:t>
            </w:r>
          </w:p>
          <w:p w:rsidR="00246C90" w:rsidRPr="000A5BE9" w:rsidRDefault="00246C90" w:rsidP="00E553D4">
            <w:pPr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246C90" w:rsidRDefault="00246C90"/>
    <w:p w:rsidR="00246C90" w:rsidRDefault="00246C90"/>
    <w:tbl>
      <w:tblPr>
        <w:tblStyle w:val="Sombreadoclaro-nfasis2"/>
        <w:tblpPr w:leftFromText="141" w:rightFromText="141" w:vertAnchor="page" w:horzAnchor="margin" w:tblpXSpec="center" w:tblpY="1854"/>
        <w:tblW w:w="0" w:type="auto"/>
        <w:shd w:val="clear" w:color="auto" w:fill="FFFFFF" w:themeFill="background1"/>
        <w:tblLook w:val="04A0"/>
      </w:tblPr>
      <w:tblGrid>
        <w:gridCol w:w="1978"/>
        <w:gridCol w:w="1661"/>
        <w:gridCol w:w="1574"/>
        <w:gridCol w:w="2980"/>
      </w:tblGrid>
      <w:tr w:rsidR="00246C90" w:rsidRPr="000A5BE9" w:rsidTr="00246C90">
        <w:trPr>
          <w:cnfStyle w:val="100000000000"/>
          <w:trHeight w:val="154"/>
        </w:trPr>
        <w:tc>
          <w:tcPr>
            <w:cnfStyle w:val="001000000000"/>
            <w:tcW w:w="8193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lastRenderedPageBreak/>
              <w:t>Tabla 3.  Estadísticos descriptivos y consistencia interna de las principales variables en estudio (N = 94)</w:t>
            </w:r>
          </w:p>
        </w:tc>
      </w:tr>
      <w:tr w:rsidR="00246C90" w:rsidRPr="000A5BE9" w:rsidTr="00246C90">
        <w:trPr>
          <w:cnfStyle w:val="000000100000"/>
          <w:trHeight w:val="154"/>
        </w:trPr>
        <w:tc>
          <w:tcPr>
            <w:cnfStyle w:val="001000000000"/>
            <w:tcW w:w="19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Factores</w:t>
            </w:r>
          </w:p>
        </w:tc>
        <w:tc>
          <w:tcPr>
            <w:tcW w:w="1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Media</w:t>
            </w:r>
          </w:p>
        </w:tc>
        <w:tc>
          <w:tcPr>
            <w:tcW w:w="157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DT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α</w:t>
            </w:r>
          </w:p>
        </w:tc>
      </w:tr>
      <w:tr w:rsidR="00246C90" w:rsidRPr="000A5BE9" w:rsidTr="00246C90">
        <w:trPr>
          <w:trHeight w:val="314"/>
        </w:trPr>
        <w:tc>
          <w:tcPr>
            <w:cnfStyle w:val="001000000000"/>
            <w:tcW w:w="1978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1. Dimensiones de presencia social</w:t>
            </w:r>
          </w:p>
        </w:tc>
        <w:tc>
          <w:tcPr>
            <w:tcW w:w="1661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</w:p>
        </w:tc>
      </w:tr>
      <w:tr w:rsidR="00246C90" w:rsidRPr="000A5BE9" w:rsidTr="00246C90">
        <w:trPr>
          <w:cnfStyle w:val="000000100000"/>
          <w:trHeight w:val="161"/>
        </w:trPr>
        <w:tc>
          <w:tcPr>
            <w:cnfStyle w:val="001000000000"/>
            <w:tcW w:w="1978" w:type="dxa"/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proofErr w:type="spellStart"/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Copresencia</w:t>
            </w:r>
            <w:proofErr w:type="spellEnd"/>
          </w:p>
        </w:tc>
        <w:tc>
          <w:tcPr>
            <w:tcW w:w="1661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4,66</w:t>
            </w:r>
          </w:p>
        </w:tc>
        <w:tc>
          <w:tcPr>
            <w:tcW w:w="1574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2,01</w:t>
            </w:r>
          </w:p>
        </w:tc>
        <w:tc>
          <w:tcPr>
            <w:tcW w:w="2980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.96</w:t>
            </w:r>
          </w:p>
        </w:tc>
      </w:tr>
      <w:tr w:rsidR="00246C90" w:rsidRPr="000A5BE9" w:rsidTr="00246C90">
        <w:trPr>
          <w:trHeight w:val="314"/>
        </w:trPr>
        <w:tc>
          <w:tcPr>
            <w:cnfStyle w:val="001000000000"/>
            <w:tcW w:w="1978" w:type="dxa"/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Comprensión percibida del mensaje</w:t>
            </w:r>
          </w:p>
        </w:tc>
        <w:tc>
          <w:tcPr>
            <w:tcW w:w="1661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4,98</w:t>
            </w:r>
          </w:p>
        </w:tc>
        <w:tc>
          <w:tcPr>
            <w:tcW w:w="1574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1,32</w:t>
            </w:r>
          </w:p>
        </w:tc>
        <w:tc>
          <w:tcPr>
            <w:tcW w:w="2980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.93</w:t>
            </w:r>
          </w:p>
        </w:tc>
      </w:tr>
      <w:tr w:rsidR="00246C90" w:rsidRPr="000A5BE9" w:rsidTr="00246C90">
        <w:trPr>
          <w:cnfStyle w:val="000000100000"/>
          <w:trHeight w:val="154"/>
        </w:trPr>
        <w:tc>
          <w:tcPr>
            <w:cnfStyle w:val="001000000000"/>
            <w:tcW w:w="1978" w:type="dxa"/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comprensiva afectiva percibida</w:t>
            </w:r>
          </w:p>
        </w:tc>
        <w:tc>
          <w:tcPr>
            <w:tcW w:w="1661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3,99</w:t>
            </w:r>
          </w:p>
        </w:tc>
        <w:tc>
          <w:tcPr>
            <w:tcW w:w="1574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1,42</w:t>
            </w:r>
          </w:p>
        </w:tc>
        <w:tc>
          <w:tcPr>
            <w:tcW w:w="2980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.80</w:t>
            </w:r>
          </w:p>
        </w:tc>
      </w:tr>
      <w:tr w:rsidR="00246C90" w:rsidRPr="000A5BE9" w:rsidTr="00246C90">
        <w:trPr>
          <w:trHeight w:val="314"/>
        </w:trPr>
        <w:tc>
          <w:tcPr>
            <w:cnfStyle w:val="001000000000"/>
            <w:tcW w:w="1978" w:type="dxa"/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interdependencia afectiva percibida</w:t>
            </w:r>
          </w:p>
        </w:tc>
        <w:tc>
          <w:tcPr>
            <w:tcW w:w="1661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4,00</w:t>
            </w:r>
          </w:p>
        </w:tc>
        <w:tc>
          <w:tcPr>
            <w:tcW w:w="1574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1,59</w:t>
            </w:r>
          </w:p>
        </w:tc>
        <w:tc>
          <w:tcPr>
            <w:tcW w:w="2980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.90</w:t>
            </w:r>
          </w:p>
        </w:tc>
      </w:tr>
      <w:tr w:rsidR="00246C90" w:rsidRPr="000A5BE9" w:rsidTr="00246C90">
        <w:trPr>
          <w:cnfStyle w:val="000000100000"/>
          <w:trHeight w:val="314"/>
        </w:trPr>
        <w:tc>
          <w:tcPr>
            <w:cnfStyle w:val="001000000000"/>
            <w:tcW w:w="1978" w:type="dxa"/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interdependencia conductual percibida</w:t>
            </w:r>
          </w:p>
        </w:tc>
        <w:tc>
          <w:tcPr>
            <w:tcW w:w="1661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3,82</w:t>
            </w:r>
          </w:p>
        </w:tc>
        <w:tc>
          <w:tcPr>
            <w:tcW w:w="1574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1,50</w:t>
            </w:r>
          </w:p>
        </w:tc>
        <w:tc>
          <w:tcPr>
            <w:tcW w:w="2980" w:type="dxa"/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.90</w:t>
            </w:r>
          </w:p>
        </w:tc>
      </w:tr>
      <w:tr w:rsidR="00246C90" w:rsidRPr="000A5BE9" w:rsidTr="00246C90">
        <w:trPr>
          <w:trHeight w:val="154"/>
        </w:trPr>
        <w:tc>
          <w:tcPr>
            <w:cnfStyle w:val="001000000000"/>
            <w:tcW w:w="1978" w:type="dxa"/>
            <w:tcBorders>
              <w:bottom w:val="nil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2.Utilización del EVEA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2,45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1,05</w:t>
            </w:r>
          </w:p>
        </w:tc>
        <w:tc>
          <w:tcPr>
            <w:tcW w:w="2980" w:type="dxa"/>
            <w:tcBorders>
              <w:bottom w:val="nil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0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-</w:t>
            </w:r>
          </w:p>
        </w:tc>
      </w:tr>
      <w:tr w:rsidR="00246C90" w:rsidRPr="000A5BE9" w:rsidTr="00246C90">
        <w:trPr>
          <w:cnfStyle w:val="000000100000"/>
          <w:trHeight w:val="49"/>
        </w:trPr>
        <w:tc>
          <w:tcPr>
            <w:cnfStyle w:val="001000000000"/>
            <w:tcW w:w="1978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color w:val="auto"/>
                <w:spacing w:val="-6"/>
                <w:position w:val="-4"/>
                <w:sz w:val="20"/>
                <w:szCs w:val="20"/>
              </w:rPr>
              <w:t>3.Aprendizaje percibido</w:t>
            </w:r>
          </w:p>
        </w:tc>
        <w:tc>
          <w:tcPr>
            <w:tcW w:w="166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4,87</w:t>
            </w:r>
          </w:p>
        </w:tc>
        <w:tc>
          <w:tcPr>
            <w:tcW w:w="157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1,64</w:t>
            </w:r>
          </w:p>
        </w:tc>
        <w:tc>
          <w:tcPr>
            <w:tcW w:w="298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246C90" w:rsidRPr="000A5BE9" w:rsidRDefault="00246C90" w:rsidP="00246C90">
            <w:pPr>
              <w:cnfStyle w:val="000000100000"/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</w:pPr>
            <w:r w:rsidRPr="000A5BE9">
              <w:rPr>
                <w:rFonts w:ascii="Arial Narrow" w:hAnsi="Arial Narrow" w:cs="Garamond"/>
                <w:b/>
                <w:color w:val="auto"/>
                <w:spacing w:val="-6"/>
                <w:position w:val="-4"/>
                <w:sz w:val="20"/>
                <w:szCs w:val="20"/>
              </w:rPr>
              <w:t>.95</w:t>
            </w:r>
          </w:p>
        </w:tc>
      </w:tr>
    </w:tbl>
    <w:p w:rsidR="00246C90" w:rsidRDefault="00246C90" w:rsidP="00246C90"/>
    <w:tbl>
      <w:tblPr>
        <w:tblStyle w:val="Tablaconcuadrcula"/>
        <w:tblW w:w="487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417"/>
        <w:gridCol w:w="1279"/>
        <w:gridCol w:w="1782"/>
        <w:gridCol w:w="1279"/>
        <w:gridCol w:w="1782"/>
        <w:gridCol w:w="1280"/>
      </w:tblGrid>
      <w:tr w:rsidR="00246C90" w:rsidRPr="00361BDA" w:rsidTr="00E553D4">
        <w:trPr>
          <w:trHeight w:val="67"/>
        </w:trPr>
        <w:tc>
          <w:tcPr>
            <w:tcW w:w="5000" w:type="pct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Tabla 4 : Matriz de componentes </w:t>
            </w:r>
            <w:proofErr w:type="spellStart"/>
            <w:r w:rsidRPr="00361BDA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rotados</w:t>
            </w:r>
            <w:r w:rsidRPr="00361BDA">
              <w:rPr>
                <w:rFonts w:ascii="Courier New" w:hAnsi="Courier New" w:cs="Courier New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246C90" w:rsidRPr="00361BDA" w:rsidTr="00E553D4">
        <w:trPr>
          <w:trHeight w:val="394"/>
        </w:trPr>
        <w:tc>
          <w:tcPr>
            <w:tcW w:w="690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Items</w:t>
            </w:r>
            <w:proofErr w:type="spellEnd"/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spellStart"/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Copresencia</w:t>
            </w:r>
            <w:proofErr w:type="spellEnd"/>
          </w:p>
        </w:tc>
        <w:tc>
          <w:tcPr>
            <w:tcW w:w="1033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Interdependencia conductual percibida</w:t>
            </w:r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Comprensión percibida del mensaje</w:t>
            </w:r>
          </w:p>
        </w:tc>
        <w:tc>
          <w:tcPr>
            <w:tcW w:w="1033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interdependencia afectiva percibida</w:t>
            </w:r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spacing w:after="200" w:line="276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61BDA">
              <w:rPr>
                <w:rFonts w:ascii="Courier New" w:hAnsi="Courier New" w:cs="Courier New"/>
                <w:b/>
                <w:sz w:val="16"/>
                <w:szCs w:val="16"/>
              </w:rPr>
              <w:t>comprensión afectiva percibida</w:t>
            </w: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,877</w:t>
            </w:r>
          </w:p>
        </w:tc>
        <w:tc>
          <w:tcPr>
            <w:tcW w:w="1033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single" w:sz="4" w:space="0" w:color="000000" w:themeColor="text1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,918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ps4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,915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,906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ps6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,880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ps13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,811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ps14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,771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ps15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,870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ps16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,853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ps19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,794</w:t>
            </w: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ps20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,766</w:t>
            </w: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ps23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,815</w:t>
            </w: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ps24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,693</w:t>
            </w: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,717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ps27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,687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ps28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,717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ps29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,731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ps30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,579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ps32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,665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ps33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,725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67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ps34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,775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,885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nil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18"/>
        </w:trPr>
        <w:tc>
          <w:tcPr>
            <w:tcW w:w="690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ps36</w:t>
            </w:r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,896</w:t>
            </w:r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246C90" w:rsidRPr="00361BDA" w:rsidTr="00E553D4">
        <w:trPr>
          <w:trHeight w:val="137"/>
        </w:trPr>
        <w:tc>
          <w:tcPr>
            <w:tcW w:w="6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% varianza explicada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21,69</w:t>
            </w:r>
          </w:p>
        </w:tc>
        <w:tc>
          <w:tcPr>
            <w:tcW w:w="10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17,74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16,33</w:t>
            </w:r>
          </w:p>
        </w:tc>
        <w:tc>
          <w:tcPr>
            <w:tcW w:w="10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13,64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11,82</w:t>
            </w:r>
          </w:p>
        </w:tc>
      </w:tr>
      <w:tr w:rsidR="00246C90" w:rsidRPr="00361BDA" w:rsidTr="00E553D4">
        <w:trPr>
          <w:trHeight w:val="70"/>
        </w:trPr>
        <w:tc>
          <w:tcPr>
            <w:tcW w:w="69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 xml:space="preserve">Fiabilidad 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.96</w:t>
            </w:r>
          </w:p>
        </w:tc>
        <w:tc>
          <w:tcPr>
            <w:tcW w:w="10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.90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.93</w:t>
            </w:r>
          </w:p>
        </w:tc>
        <w:tc>
          <w:tcPr>
            <w:tcW w:w="10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.90</w:t>
            </w:r>
          </w:p>
        </w:tc>
        <w:tc>
          <w:tcPr>
            <w:tcW w:w="74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.80</w:t>
            </w:r>
          </w:p>
        </w:tc>
      </w:tr>
      <w:tr w:rsidR="00246C90" w:rsidRPr="00361BDA" w:rsidTr="00E553D4">
        <w:trPr>
          <w:trHeight w:val="137"/>
        </w:trPr>
        <w:tc>
          <w:tcPr>
            <w:tcW w:w="5000" w:type="pct"/>
            <w:gridSpan w:val="6"/>
            <w:tcBorders>
              <w:top w:val="single" w:sz="4" w:space="0" w:color="000000" w:themeColor="text1"/>
              <w:bottom w:val="nil"/>
            </w:tcBorders>
          </w:tcPr>
          <w:p w:rsidR="00246C90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246C90" w:rsidRPr="00361BDA" w:rsidRDefault="00246C90" w:rsidP="00E553D4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 xml:space="preserve">Método de extracción: Análisis de componentes principales;  Método de rotación: Normalización </w:t>
            </w:r>
            <w:proofErr w:type="spellStart"/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Varimax</w:t>
            </w:r>
            <w:proofErr w:type="spellEnd"/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 xml:space="preserve"> con </w:t>
            </w:r>
            <w:proofErr w:type="spellStart"/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Kaiser</w:t>
            </w:r>
            <w:proofErr w:type="spellEnd"/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.</w:t>
            </w:r>
          </w:p>
        </w:tc>
      </w:tr>
      <w:tr w:rsidR="00246C90" w:rsidRPr="00361BDA" w:rsidTr="00E553D4">
        <w:trPr>
          <w:trHeight w:val="137"/>
        </w:trPr>
        <w:tc>
          <w:tcPr>
            <w:tcW w:w="5000" w:type="pct"/>
            <w:gridSpan w:val="6"/>
            <w:tcBorders>
              <w:top w:val="nil"/>
              <w:bottom w:val="nil"/>
            </w:tcBorders>
          </w:tcPr>
          <w:p w:rsidR="00246C90" w:rsidRPr="00361BDA" w:rsidRDefault="00246C90" w:rsidP="00246C90">
            <w:pPr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 xml:space="preserve">La rotación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ha convergido en 7 iteraciones. </w:t>
            </w:r>
            <w:r w:rsidRPr="00361BDA">
              <w:rPr>
                <w:rFonts w:ascii="Courier New" w:hAnsi="Courier New" w:cs="Courier New"/>
                <w:b/>
                <w:sz w:val="20"/>
                <w:szCs w:val="20"/>
              </w:rPr>
              <w:t>b.    Total varianza explicada =  81,25%</w:t>
            </w:r>
          </w:p>
        </w:tc>
      </w:tr>
    </w:tbl>
    <w:tbl>
      <w:tblPr>
        <w:tblpPr w:leftFromText="141" w:rightFromText="141" w:vertAnchor="text" w:horzAnchor="margin" w:tblpY="238"/>
        <w:tblOverlap w:val="never"/>
        <w:tblW w:w="84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269"/>
        <w:gridCol w:w="1469"/>
        <w:gridCol w:w="1469"/>
        <w:gridCol w:w="1469"/>
        <w:gridCol w:w="1009"/>
        <w:gridCol w:w="1009"/>
      </w:tblGrid>
      <w:tr w:rsidR="00246C90" w:rsidRPr="00D327D5" w:rsidTr="00E553D4">
        <w:trPr>
          <w:cantSplit/>
        </w:trPr>
        <w:tc>
          <w:tcPr>
            <w:tcW w:w="8428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Default="00246C90" w:rsidP="00E553D4">
            <w:pPr>
              <w:spacing w:after="0" w:line="240" w:lineRule="auto"/>
              <w:rPr>
                <w:b/>
                <w:bCs/>
              </w:rPr>
            </w:pPr>
          </w:p>
          <w:p w:rsidR="00246C90" w:rsidRDefault="00246C90" w:rsidP="00E553D4">
            <w:pPr>
              <w:spacing w:after="0" w:line="240" w:lineRule="auto"/>
              <w:rPr>
                <w:b/>
                <w:bCs/>
              </w:rPr>
            </w:pPr>
          </w:p>
          <w:p w:rsidR="00246C90" w:rsidRPr="00D327D5" w:rsidRDefault="00246C90" w:rsidP="00E553D4">
            <w:pPr>
              <w:spacing w:after="0" w:line="240" w:lineRule="auto"/>
              <w:rPr>
                <w:b/>
                <w:bCs/>
              </w:rPr>
            </w:pPr>
            <w:r w:rsidRPr="00D327D5">
              <w:rPr>
                <w:b/>
                <w:bCs/>
              </w:rPr>
              <w:t>Tabla 5: Análisis de regresión para la variable dependiente Aprendizaje Percibido</w:t>
            </w:r>
          </w:p>
          <w:p w:rsidR="00246C90" w:rsidRPr="00D327D5" w:rsidRDefault="00246C90" w:rsidP="00E553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46C90" w:rsidRPr="00D327D5" w:rsidTr="00E553D4">
        <w:trPr>
          <w:cantSplit/>
        </w:trPr>
        <w:tc>
          <w:tcPr>
            <w:tcW w:w="2003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Modelo</w:t>
            </w:r>
          </w:p>
        </w:tc>
        <w:tc>
          <w:tcPr>
            <w:tcW w:w="293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Coeficientes no estandarizados</w:t>
            </w:r>
          </w:p>
        </w:tc>
        <w:tc>
          <w:tcPr>
            <w:tcW w:w="1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Coeficientes tipificados</w:t>
            </w:r>
          </w:p>
        </w:tc>
        <w:tc>
          <w:tcPr>
            <w:tcW w:w="10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Sig.</w:t>
            </w:r>
          </w:p>
        </w:tc>
      </w:tr>
      <w:tr w:rsidR="00246C90" w:rsidRPr="00D327D5" w:rsidTr="00E553D4">
        <w:trPr>
          <w:cantSplit/>
        </w:trPr>
        <w:tc>
          <w:tcPr>
            <w:tcW w:w="2003" w:type="dxa"/>
            <w:gridSpan w:val="2"/>
            <w:vMerge/>
            <w:tcBorders>
              <w:top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B</w:t>
            </w:r>
          </w:p>
        </w:tc>
        <w:tc>
          <w:tcPr>
            <w:tcW w:w="1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 xml:space="preserve">Error </w:t>
            </w:r>
            <w:proofErr w:type="spellStart"/>
            <w:r w:rsidRPr="00D327D5">
              <w:rPr>
                <w:b/>
              </w:rPr>
              <w:t>típ</w:t>
            </w:r>
            <w:proofErr w:type="spellEnd"/>
            <w:r w:rsidRPr="00D327D5">
              <w:rPr>
                <w:b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Beta</w:t>
            </w:r>
          </w:p>
        </w:tc>
        <w:tc>
          <w:tcPr>
            <w:tcW w:w="1009" w:type="dxa"/>
            <w:vMerge/>
            <w:tcBorders>
              <w:top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</w:p>
        </w:tc>
      </w:tr>
      <w:tr w:rsidR="00246C90" w:rsidRPr="00D327D5" w:rsidTr="00E553D4">
        <w:trPr>
          <w:cantSplit/>
        </w:trPr>
        <w:tc>
          <w:tcPr>
            <w:tcW w:w="734" w:type="dxa"/>
            <w:vMerge w:val="restart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1</w:t>
            </w:r>
          </w:p>
        </w:tc>
        <w:tc>
          <w:tcPr>
            <w:tcW w:w="126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(Constante)</w:t>
            </w:r>
          </w:p>
        </w:tc>
        <w:tc>
          <w:tcPr>
            <w:tcW w:w="1469" w:type="dxa"/>
            <w:tcBorders>
              <w:top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,964</w:t>
            </w:r>
          </w:p>
        </w:tc>
        <w:tc>
          <w:tcPr>
            <w:tcW w:w="1469" w:type="dxa"/>
            <w:tcBorders>
              <w:top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7,147</w:t>
            </w:r>
          </w:p>
        </w:tc>
        <w:tc>
          <w:tcPr>
            <w:tcW w:w="1469" w:type="dxa"/>
            <w:tcBorders>
              <w:top w:val="single" w:sz="4" w:space="0" w:color="000000" w:themeColor="text1"/>
            </w:tcBorders>
            <w:shd w:val="clear" w:color="auto" w:fill="FFFFFF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,135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,893</w:t>
            </w:r>
          </w:p>
        </w:tc>
      </w:tr>
      <w:tr w:rsidR="00246C90" w:rsidRPr="00D327D5" w:rsidTr="00E553D4">
        <w:trPr>
          <w:cantSplit/>
        </w:trPr>
        <w:tc>
          <w:tcPr>
            <w:tcW w:w="734" w:type="dxa"/>
            <w:vMerge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D327D5">
              <w:rPr>
                <w:b/>
              </w:rPr>
              <w:t>aprensoc</w:t>
            </w:r>
            <w:proofErr w:type="spellEnd"/>
          </w:p>
        </w:tc>
        <w:tc>
          <w:tcPr>
            <w:tcW w:w="146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,268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,039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,609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6,835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,000</w:t>
            </w:r>
          </w:p>
        </w:tc>
      </w:tr>
      <w:tr w:rsidR="00246C90" w:rsidRPr="00D327D5" w:rsidTr="00E553D4">
        <w:trPr>
          <w:cantSplit/>
        </w:trPr>
        <w:tc>
          <w:tcPr>
            <w:tcW w:w="734" w:type="dxa"/>
            <w:vMerge/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26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Edad</w:t>
            </w:r>
          </w:p>
        </w:tc>
        <w:tc>
          <w:tcPr>
            <w:tcW w:w="146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,581</w:t>
            </w:r>
          </w:p>
        </w:tc>
        <w:tc>
          <w:tcPr>
            <w:tcW w:w="146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,295</w:t>
            </w:r>
          </w:p>
        </w:tc>
        <w:tc>
          <w:tcPr>
            <w:tcW w:w="146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,175</w:t>
            </w: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1,967</w:t>
            </w:r>
          </w:p>
        </w:tc>
        <w:tc>
          <w:tcPr>
            <w:tcW w:w="1009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:rsidR="00246C90" w:rsidRPr="00D327D5" w:rsidRDefault="00246C90" w:rsidP="00E553D4">
            <w:pPr>
              <w:spacing w:line="240" w:lineRule="auto"/>
              <w:jc w:val="both"/>
              <w:rPr>
                <w:b/>
              </w:rPr>
            </w:pPr>
            <w:r w:rsidRPr="00D327D5">
              <w:rPr>
                <w:b/>
              </w:rPr>
              <w:t>,053</w:t>
            </w:r>
          </w:p>
        </w:tc>
      </w:tr>
      <w:tr w:rsidR="00246C90" w:rsidRPr="00D327D5" w:rsidTr="00E553D4">
        <w:trPr>
          <w:cantSplit/>
        </w:trPr>
        <w:tc>
          <w:tcPr>
            <w:tcW w:w="8428" w:type="dxa"/>
            <w:gridSpan w:val="7"/>
            <w:shd w:val="clear" w:color="auto" w:fill="FFFFFF"/>
          </w:tcPr>
          <w:p w:rsidR="00246C90" w:rsidRPr="00D327D5" w:rsidRDefault="00246C90" w:rsidP="00E553D4">
            <w:pPr>
              <w:jc w:val="both"/>
              <w:rPr>
                <w:b/>
              </w:rPr>
            </w:pPr>
            <w:r w:rsidRPr="00D327D5">
              <w:rPr>
                <w:b/>
              </w:rPr>
              <w:t xml:space="preserve">a. Variable dependiente: </w:t>
            </w:r>
            <w:proofErr w:type="spellStart"/>
            <w:r w:rsidRPr="00D327D5">
              <w:rPr>
                <w:b/>
              </w:rPr>
              <w:t>aprenper</w:t>
            </w:r>
            <w:proofErr w:type="spellEnd"/>
          </w:p>
        </w:tc>
      </w:tr>
    </w:tbl>
    <w:p w:rsidR="00246C90" w:rsidRDefault="00246C90" w:rsidP="00246C90"/>
    <w:p w:rsidR="00246C90" w:rsidRPr="00246C90" w:rsidRDefault="00246C90" w:rsidP="00246C90">
      <w:pPr>
        <w:rPr>
          <w:b/>
        </w:rPr>
      </w:pPr>
      <w:r w:rsidRPr="00246C90">
        <w:rPr>
          <w:b/>
        </w:rPr>
        <w:t>Fig. 1 Modelo de AFC de cinco factores y presencia social (</w:t>
      </w:r>
      <w:proofErr w:type="spellStart"/>
      <w:r w:rsidRPr="00246C90">
        <w:rPr>
          <w:b/>
        </w:rPr>
        <w:t>aprensoc</w:t>
      </w:r>
      <w:proofErr w:type="spellEnd"/>
      <w:r w:rsidRPr="00246C90">
        <w:rPr>
          <w:b/>
        </w:rPr>
        <w:t>)</w:t>
      </w:r>
    </w:p>
    <w:p w:rsidR="00246C90" w:rsidRDefault="00246C90" w:rsidP="00246C90"/>
    <w:p w:rsidR="00246C90" w:rsidRDefault="00246C90" w:rsidP="00246C90">
      <w:pPr>
        <w:jc w:val="center"/>
      </w:pPr>
      <w:r w:rsidRPr="00246C90">
        <w:drawing>
          <wp:inline distT="0" distB="0" distL="0" distR="0">
            <wp:extent cx="4521052" cy="2697104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165" cy="269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C90" w:rsidSect="00785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BEF"/>
    <w:multiLevelType w:val="hybridMultilevel"/>
    <w:tmpl w:val="C0BEEC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67D16"/>
    <w:multiLevelType w:val="hybridMultilevel"/>
    <w:tmpl w:val="83469B00"/>
    <w:lvl w:ilvl="0" w:tplc="FF52A3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C90"/>
    <w:rsid w:val="00246C90"/>
    <w:rsid w:val="0078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C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4">
    <w:name w:val="Light Shading Accent 4"/>
    <w:basedOn w:val="Tablanormal"/>
    <w:uiPriority w:val="60"/>
    <w:rsid w:val="00246C9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2">
    <w:name w:val="Light Shading Accent 2"/>
    <w:basedOn w:val="Tablanormal"/>
    <w:uiPriority w:val="60"/>
    <w:rsid w:val="00246C9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aconcuadrcula">
    <w:name w:val="Table Grid"/>
    <w:basedOn w:val="Tablanormal"/>
    <w:uiPriority w:val="59"/>
    <w:rsid w:val="00246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2013-01-26T20:33:00Z</dcterms:created>
  <dcterms:modified xsi:type="dcterms:W3CDTF">2013-01-26T20:39:00Z</dcterms:modified>
</cp:coreProperties>
</file>