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48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Henri Wallon en castellano: </w:t>
      </w:r>
    </w:p>
    <w:p>
      <w:pPr>
        <w:pStyle w:val="style0"/>
        <w:spacing w:line="48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jalones argentinos de un itinerario transnacional (1935-1976).</w:t>
      </w:r>
    </w:p>
    <w:p>
      <w:pPr>
        <w:pStyle w:val="style0"/>
        <w:spacing w:line="480" w:lineRule="auto"/>
        <w:jc w:val="center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en-US"/>
        </w:rPr>
        <w:t>Henri Wallon in Spanish: Argentine milestones of a transnational itinerary (1935-1976).</w:t>
      </w:r>
    </w:p>
    <w:p>
      <w:pPr>
        <w:pStyle w:val="style0"/>
        <w:spacing w:line="480" w:lineRule="auto"/>
        <w:jc w:val="center"/>
        <w:rPr/>
      </w:pPr>
      <w:r>
        <w:rPr/>
      </w:r>
    </w:p>
    <w:p>
      <w:pPr>
        <w:pStyle w:val="style0"/>
        <w:spacing w:line="480" w:lineRule="auto"/>
        <w:jc w:val="left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en-US"/>
        </w:rPr>
        <w:t>Cuadros</w:t>
      </w:r>
    </w:p>
    <w:p>
      <w:pPr>
        <w:pStyle w:val="style0"/>
        <w:spacing w:line="100" w:lineRule="atLeast"/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>Cuadro 1: Textos de Wallon editados en Argentina entre 1946 y 1968.</w:t>
      </w:r>
    </w:p>
    <w:p>
      <w:pPr>
        <w:pStyle w:val="style0"/>
        <w:spacing w:line="100" w:lineRule="atLeast"/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</w:r>
    </w:p>
    <w:tbl>
      <w:tblPr>
        <w:jc w:val="left"/>
        <w:tblInd w:type="dxa" w:w="54"/>
        <w:tblBorders>
          <w:top w:color="000001" w:space="0" w:sz="2" w:val="single"/>
          <w:left w:val="nil"/>
          <w:bottom w:color="000001" w:space="0" w:sz="2" w:val="single"/>
          <w:insideH w:color="000001" w:space="0" w:sz="2" w:val="single"/>
          <w:right w:val="nil"/>
          <w:insideV w:val="nil"/>
        </w:tblBorders>
        <w:tblCellMar>
          <w:top w:type="dxa" w:w="55"/>
          <w:left w:type="dxa" w:w="55"/>
          <w:bottom w:type="dxa" w:w="55"/>
          <w:right w:type="dxa" w:w="55"/>
        </w:tblCellMar>
      </w:tblPr>
      <w:tblGrid>
        <w:gridCol w:w="2194"/>
        <w:gridCol w:w="4762"/>
        <w:gridCol w:w="1535"/>
        <w:gridCol w:w="908"/>
      </w:tblGrid>
      <w:tr>
        <w:trPr>
          <w:cantSplit w:val="false"/>
        </w:trPr>
        <w:tc>
          <w:tcPr>
            <w:tcW w:type="dxa" w:w="2194"/>
            <w:tcBorders>
              <w:top w:color="000001" w:space="0" w:sz="2" w:val="single"/>
              <w:left w:val="nil"/>
              <w:bottom w:color="000001" w:space="0" w:sz="2" w:val="single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>Autor/es</w:t>
            </w:r>
          </w:p>
        </w:tc>
        <w:tc>
          <w:tcPr>
            <w:tcW w:type="dxa" w:w="4762"/>
            <w:tcBorders>
              <w:top w:color="000001" w:space="0" w:sz="2" w:val="single"/>
              <w:left w:val="nil"/>
              <w:bottom w:color="000001" w:space="0" w:sz="2" w:val="single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>Título</w:t>
            </w:r>
          </w:p>
        </w:tc>
        <w:tc>
          <w:tcPr>
            <w:tcW w:type="dxa" w:w="1535"/>
            <w:tcBorders>
              <w:top w:color="000001" w:space="0" w:sz="2" w:val="single"/>
              <w:left w:val="nil"/>
              <w:bottom w:color="000001" w:space="0" w:sz="2" w:val="single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Style w:val="style16"/>
                <w:rFonts w:ascii="Times New Roman" w:cs="Times New Roman" w:hAnsi="Times New Roman"/>
                <w:b/>
                <w:b/>
                <w:bCs/>
                <w:sz w:val="19"/>
                <w:sz w:val="19"/>
                <w:szCs w:val="19"/>
                <w:rtl w:val="true"/>
              </w:rPr>
            </w:pPr>
            <w:r>
              <w:rPr>
                <w:rStyle w:val="style15"/>
                <w:rFonts w:cs="Times New Roman"/>
                <w:b/>
                <w:bCs/>
                <w:sz w:val="19"/>
                <w:szCs w:val="19"/>
              </w:rPr>
              <w:t>Año</w:t>
            </w:r>
            <w:r>
              <w:rPr>
                <w:rStyle w:val="style16"/>
                <w:rFonts w:ascii="Times New Roman" w:cs="Times New Roman" w:hAnsi="Times New Roman"/>
                <w:b/>
                <w:b/>
                <w:bCs/>
                <w:sz w:val="19"/>
                <w:sz w:val="19"/>
                <w:szCs w:val="19"/>
                <w:rtl w:val="true"/>
              </w:rPr>
              <w:t>٭</w:t>
            </w:r>
          </w:p>
        </w:tc>
        <w:tc>
          <w:tcPr>
            <w:tcW w:type="dxa" w:w="908"/>
            <w:tcBorders>
              <w:top w:color="000001" w:space="0" w:sz="2" w:val="single"/>
              <w:left w:val="nil"/>
              <w:bottom w:color="000001" w:space="0" w:sz="2" w:val="single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>Editorial</w:t>
            </w:r>
          </w:p>
        </w:tc>
      </w:tr>
      <w:tr>
        <w:trPr>
          <w:cantSplit w:val="false"/>
        </w:trPr>
        <w:tc>
          <w:tcPr>
            <w:tcW w:type="dxa" w:w="2194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H. Wallon</w:t>
            </w:r>
          </w:p>
        </w:tc>
        <w:tc>
          <w:tcPr>
            <w:tcW w:type="dxa" w:w="4762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rPr>
                <w:rFonts w:cs="Times New Roman"/>
                <w:i/>
                <w:iCs/>
                <w:sz w:val="19"/>
                <w:szCs w:val="19"/>
              </w:rPr>
            </w:pPr>
            <w:r>
              <w:rPr>
                <w:rFonts w:cs="Times New Roman"/>
                <w:i/>
                <w:iCs/>
                <w:sz w:val="19"/>
                <w:szCs w:val="19"/>
              </w:rPr>
              <w:t>Psicología Aplicada.</w:t>
            </w:r>
          </w:p>
        </w:tc>
        <w:tc>
          <w:tcPr>
            <w:tcW w:type="dxa" w:w="153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1946 [1938]</w:t>
            </w:r>
          </w:p>
        </w:tc>
        <w:tc>
          <w:tcPr>
            <w:tcW w:type="dxa" w:w="908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Futuro</w:t>
            </w:r>
          </w:p>
        </w:tc>
      </w:tr>
      <w:tr>
        <w:trPr>
          <w:cantSplit w:val="false"/>
        </w:trPr>
        <w:tc>
          <w:tcPr>
            <w:tcW w:type="dxa" w:w="2194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H. Wallon</w:t>
            </w:r>
          </w:p>
        </w:tc>
        <w:tc>
          <w:tcPr>
            <w:tcW w:type="dxa" w:w="4762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rPr>
                <w:rStyle w:val="style15"/>
                <w:rFonts w:cs="Times New Roman"/>
                <w:sz w:val="19"/>
                <w:szCs w:val="19"/>
              </w:rPr>
            </w:pPr>
            <w:r>
              <w:rPr>
                <w:rStyle w:val="style15"/>
                <w:rFonts w:cs="Times New Roman"/>
                <w:i/>
                <w:iCs/>
                <w:sz w:val="19"/>
                <w:szCs w:val="19"/>
              </w:rPr>
              <w:t>Del Acto al Pensamiento</w:t>
            </w:r>
            <w:r>
              <w:rPr>
                <w:rStyle w:val="style15"/>
                <w:rFonts w:cs="Times New Roman"/>
                <w:sz w:val="19"/>
                <w:szCs w:val="19"/>
              </w:rPr>
              <w:t>, 1ra. ed.</w:t>
            </w:r>
          </w:p>
        </w:tc>
        <w:tc>
          <w:tcPr>
            <w:tcW w:type="dxa" w:w="153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1947 [1942]</w:t>
            </w:r>
          </w:p>
        </w:tc>
        <w:tc>
          <w:tcPr>
            <w:tcW w:type="dxa" w:w="908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Lautaro</w:t>
            </w:r>
          </w:p>
        </w:tc>
      </w:tr>
      <w:tr>
        <w:trPr>
          <w:cantSplit w:val="false"/>
        </w:trPr>
        <w:tc>
          <w:tcPr>
            <w:tcW w:type="dxa" w:w="2194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H. Wallon</w:t>
            </w:r>
          </w:p>
        </w:tc>
        <w:tc>
          <w:tcPr>
            <w:tcW w:type="dxa" w:w="4762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rPr>
                <w:rStyle w:val="style15"/>
                <w:rFonts w:cs="Times New Roman"/>
                <w:sz w:val="19"/>
                <w:szCs w:val="19"/>
              </w:rPr>
            </w:pPr>
            <w:r>
              <w:rPr>
                <w:rStyle w:val="style15"/>
                <w:rFonts w:cs="Times New Roman"/>
                <w:sz w:val="19"/>
                <w:szCs w:val="19"/>
              </w:rPr>
              <w:t xml:space="preserve">El problema biológico de la conciencia. En G. Dumas (Ed.) </w:t>
            </w:r>
            <w:r>
              <w:rPr>
                <w:rStyle w:val="style15"/>
                <w:rFonts w:cs="Times New Roman"/>
                <w:i/>
                <w:iCs/>
                <w:sz w:val="19"/>
                <w:szCs w:val="19"/>
              </w:rPr>
              <w:t>Nuevo tratado de Psicología</w:t>
            </w:r>
            <w:r>
              <w:rPr>
                <w:rStyle w:val="style15"/>
                <w:rFonts w:cs="Times New Roman"/>
                <w:sz w:val="19"/>
                <w:szCs w:val="19"/>
              </w:rPr>
              <w:t>, Tomo I (pp. 351-397).</w:t>
            </w:r>
          </w:p>
        </w:tc>
        <w:tc>
          <w:tcPr>
            <w:tcW w:type="dxa" w:w="153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1948 [1930]</w:t>
            </w:r>
          </w:p>
        </w:tc>
        <w:tc>
          <w:tcPr>
            <w:tcW w:type="dxa" w:w="908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Kapelusz</w:t>
            </w:r>
          </w:p>
        </w:tc>
      </w:tr>
      <w:tr>
        <w:trPr>
          <w:cantSplit w:val="false"/>
        </w:trPr>
        <w:tc>
          <w:tcPr>
            <w:tcW w:type="dxa" w:w="2194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H. Wallon</w:t>
            </w:r>
          </w:p>
        </w:tc>
        <w:tc>
          <w:tcPr>
            <w:tcW w:type="dxa" w:w="4762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rPr>
                <w:rStyle w:val="style15"/>
                <w:rFonts w:cs="Times New Roman"/>
                <w:sz w:val="19"/>
                <w:szCs w:val="19"/>
              </w:rPr>
            </w:pPr>
            <w:r>
              <w:rPr>
                <w:rStyle w:val="style15"/>
                <w:rFonts w:cs="Times New Roman"/>
                <w:sz w:val="19"/>
                <w:szCs w:val="19"/>
              </w:rPr>
              <w:t xml:space="preserve">La conciencia y la vida subconciente. En G. Dumas (ed.) </w:t>
            </w:r>
            <w:r>
              <w:rPr>
                <w:rStyle w:val="style15"/>
                <w:rFonts w:cs="Times New Roman"/>
                <w:i/>
                <w:iCs/>
                <w:sz w:val="19"/>
                <w:szCs w:val="19"/>
              </w:rPr>
              <w:t>Nuevo tratado de Psicología</w:t>
            </w:r>
            <w:r>
              <w:rPr>
                <w:rStyle w:val="style15"/>
                <w:rFonts w:cs="Times New Roman"/>
                <w:sz w:val="19"/>
                <w:szCs w:val="19"/>
              </w:rPr>
              <w:t>, Tomo VII, fascículo I.</w:t>
            </w:r>
          </w:p>
        </w:tc>
        <w:tc>
          <w:tcPr>
            <w:tcW w:type="dxa" w:w="153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1948 [1942]</w:t>
            </w:r>
          </w:p>
        </w:tc>
        <w:tc>
          <w:tcPr>
            <w:tcW w:type="dxa" w:w="908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Kapeluz</w:t>
            </w:r>
          </w:p>
        </w:tc>
      </w:tr>
      <w:tr>
        <w:trPr>
          <w:cantSplit w:val="false"/>
        </w:trPr>
        <w:tc>
          <w:tcPr>
            <w:tcW w:type="dxa" w:w="2194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H. Wallon</w:t>
            </w:r>
          </w:p>
        </w:tc>
        <w:tc>
          <w:tcPr>
            <w:tcW w:type="dxa" w:w="4762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rPr>
                <w:rStyle w:val="style15"/>
                <w:rFonts w:cs="Times New Roman"/>
                <w:sz w:val="19"/>
                <w:szCs w:val="19"/>
              </w:rPr>
            </w:pPr>
            <w:r>
              <w:rPr>
                <w:rStyle w:val="style15"/>
                <w:rFonts w:cs="Times New Roman"/>
                <w:i/>
                <w:iCs/>
                <w:sz w:val="19"/>
                <w:szCs w:val="19"/>
              </w:rPr>
              <w:t>Del Acto al Pensamiento</w:t>
            </w:r>
            <w:r>
              <w:rPr>
                <w:rStyle w:val="style15"/>
                <w:rFonts w:cs="Times New Roman"/>
                <w:sz w:val="19"/>
                <w:szCs w:val="19"/>
              </w:rPr>
              <w:t>, 2da. ed.</w:t>
            </w:r>
          </w:p>
        </w:tc>
        <w:tc>
          <w:tcPr>
            <w:tcW w:type="dxa" w:w="153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1964 [1948]</w:t>
            </w:r>
          </w:p>
        </w:tc>
        <w:tc>
          <w:tcPr>
            <w:tcW w:type="dxa" w:w="908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Lautaro</w:t>
            </w:r>
          </w:p>
        </w:tc>
      </w:tr>
      <w:tr>
        <w:trPr>
          <w:cantSplit w:val="false"/>
        </w:trPr>
        <w:tc>
          <w:tcPr>
            <w:tcW w:type="dxa" w:w="2194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H. Wallon</w:t>
            </w:r>
          </w:p>
        </w:tc>
        <w:tc>
          <w:tcPr>
            <w:tcW w:type="dxa" w:w="4762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rPr>
                <w:rFonts w:cs="Times New Roman"/>
                <w:i/>
                <w:iCs/>
                <w:sz w:val="19"/>
                <w:szCs w:val="19"/>
              </w:rPr>
            </w:pPr>
            <w:r>
              <w:rPr>
                <w:rFonts w:cs="Times New Roman"/>
                <w:i/>
                <w:iCs/>
                <w:sz w:val="19"/>
                <w:szCs w:val="19"/>
              </w:rPr>
              <w:t>Fundamentos dialécticos de la psicología.</w:t>
            </w:r>
          </w:p>
        </w:tc>
        <w:tc>
          <w:tcPr>
            <w:tcW w:type="dxa" w:w="153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1965 [1931-1956]</w:t>
            </w:r>
          </w:p>
        </w:tc>
        <w:tc>
          <w:tcPr>
            <w:tcW w:type="dxa" w:w="908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Proteo</w:t>
            </w:r>
          </w:p>
        </w:tc>
      </w:tr>
      <w:tr>
        <w:trPr>
          <w:cantSplit w:val="false"/>
        </w:trPr>
        <w:tc>
          <w:tcPr>
            <w:tcW w:type="dxa" w:w="2194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H. Wallon</w:t>
            </w:r>
          </w:p>
        </w:tc>
        <w:tc>
          <w:tcPr>
            <w:tcW w:type="dxa" w:w="4762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rPr>
                <w:rFonts w:cs="Times New Roman"/>
                <w:i/>
                <w:iCs/>
                <w:sz w:val="19"/>
                <w:szCs w:val="19"/>
              </w:rPr>
            </w:pPr>
            <w:r>
              <w:rPr>
                <w:rFonts w:cs="Times New Roman"/>
                <w:i/>
                <w:iCs/>
                <w:sz w:val="19"/>
                <w:szCs w:val="19"/>
              </w:rPr>
              <w:t>Estudios sobre psicología genética de la personalidad.</w:t>
            </w:r>
          </w:p>
        </w:tc>
        <w:tc>
          <w:tcPr>
            <w:tcW w:type="dxa" w:w="153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1965 [1946-1962]</w:t>
            </w:r>
          </w:p>
        </w:tc>
        <w:tc>
          <w:tcPr>
            <w:tcW w:type="dxa" w:w="908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Lautaro</w:t>
            </w:r>
          </w:p>
        </w:tc>
      </w:tr>
      <w:tr>
        <w:trPr>
          <w:cantSplit w:val="false"/>
        </w:trPr>
        <w:tc>
          <w:tcPr>
            <w:tcW w:type="dxa" w:w="2194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H. Wallon</w:t>
            </w:r>
          </w:p>
        </w:tc>
        <w:tc>
          <w:tcPr>
            <w:tcW w:type="dxa" w:w="4762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rPr>
                <w:rFonts w:cs="Times New Roman"/>
                <w:i/>
                <w:iCs/>
                <w:sz w:val="19"/>
                <w:szCs w:val="19"/>
              </w:rPr>
            </w:pPr>
            <w:r>
              <w:rPr>
                <w:rFonts w:cs="Times New Roman"/>
                <w:i/>
                <w:iCs/>
                <w:sz w:val="19"/>
                <w:szCs w:val="19"/>
              </w:rPr>
              <w:t>La evolución psicológica del niño.</w:t>
            </w:r>
          </w:p>
        </w:tc>
        <w:tc>
          <w:tcPr>
            <w:tcW w:type="dxa" w:w="153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1965 [1941]</w:t>
            </w:r>
          </w:p>
        </w:tc>
        <w:tc>
          <w:tcPr>
            <w:tcW w:type="dxa" w:w="908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Psique</w:t>
            </w:r>
          </w:p>
        </w:tc>
      </w:tr>
      <w:tr>
        <w:trPr>
          <w:cantSplit w:val="false"/>
        </w:trPr>
        <w:tc>
          <w:tcPr>
            <w:tcW w:type="dxa" w:w="2194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H. Wallon</w:t>
            </w:r>
          </w:p>
        </w:tc>
        <w:tc>
          <w:tcPr>
            <w:tcW w:type="dxa" w:w="4762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rPr>
                <w:rFonts w:cs="Times New Roman"/>
                <w:i/>
                <w:iCs/>
                <w:sz w:val="19"/>
                <w:szCs w:val="19"/>
              </w:rPr>
            </w:pPr>
            <w:r>
              <w:rPr>
                <w:rFonts w:cs="Times New Roman"/>
                <w:i/>
                <w:iCs/>
                <w:sz w:val="19"/>
                <w:szCs w:val="19"/>
              </w:rPr>
              <w:t>Los orígenes del carácter en el niño.</w:t>
            </w:r>
          </w:p>
        </w:tc>
        <w:tc>
          <w:tcPr>
            <w:tcW w:type="dxa" w:w="153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1964 [1934]; 1965</w:t>
            </w:r>
          </w:p>
        </w:tc>
        <w:tc>
          <w:tcPr>
            <w:tcW w:type="dxa" w:w="908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Lautaro</w:t>
            </w:r>
          </w:p>
        </w:tc>
      </w:tr>
      <w:tr>
        <w:trPr>
          <w:cantSplit w:val="false"/>
        </w:trPr>
        <w:tc>
          <w:tcPr>
            <w:tcW w:type="dxa" w:w="2194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H. Wallon</w:t>
            </w:r>
          </w:p>
        </w:tc>
        <w:tc>
          <w:tcPr>
            <w:tcW w:type="dxa" w:w="4762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rPr>
                <w:rStyle w:val="style15"/>
                <w:rFonts w:cs="Times New Roman"/>
                <w:sz w:val="19"/>
                <w:szCs w:val="19"/>
              </w:rPr>
            </w:pPr>
            <w:r>
              <w:rPr>
                <w:rStyle w:val="style15"/>
                <w:rFonts w:cs="Times New Roman"/>
                <w:i/>
                <w:iCs/>
                <w:sz w:val="19"/>
                <w:szCs w:val="19"/>
              </w:rPr>
              <w:t>Los orígenes del pensamiento en el niño I – II</w:t>
            </w:r>
            <w:r>
              <w:rPr>
                <w:rStyle w:val="style15"/>
                <w:rFonts w:cs="Times New Roman"/>
                <w:sz w:val="19"/>
                <w:szCs w:val="19"/>
              </w:rPr>
              <w:t>, 3ra. ed.</w:t>
            </w:r>
          </w:p>
        </w:tc>
        <w:tc>
          <w:tcPr>
            <w:tcW w:type="dxa" w:w="153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1965 [1963]</w:t>
            </w:r>
          </w:p>
        </w:tc>
        <w:tc>
          <w:tcPr>
            <w:tcW w:type="dxa" w:w="908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Lautaro</w:t>
            </w:r>
          </w:p>
        </w:tc>
      </w:tr>
      <w:tr>
        <w:trPr>
          <w:cantSplit w:val="false"/>
        </w:trPr>
        <w:tc>
          <w:tcPr>
            <w:tcW w:type="dxa" w:w="2194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H. Wallon; J. Piaget y otros</w:t>
            </w:r>
          </w:p>
        </w:tc>
        <w:tc>
          <w:tcPr>
            <w:tcW w:type="dxa" w:w="4762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rPr>
                <w:rFonts w:cs="Times New Roman"/>
                <w:i/>
                <w:iCs/>
                <w:sz w:val="19"/>
                <w:szCs w:val="19"/>
              </w:rPr>
            </w:pPr>
            <w:r>
              <w:rPr>
                <w:rFonts w:cs="Times New Roman"/>
                <w:i/>
                <w:iCs/>
                <w:sz w:val="19"/>
                <w:szCs w:val="19"/>
              </w:rPr>
              <w:t>Los estadios en la psicología en el niño.</w:t>
            </w:r>
          </w:p>
        </w:tc>
        <w:tc>
          <w:tcPr>
            <w:tcW w:type="dxa" w:w="153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1963 [1956]; 1965</w:t>
            </w:r>
          </w:p>
        </w:tc>
        <w:tc>
          <w:tcPr>
            <w:tcW w:type="dxa" w:w="908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Lautaro</w:t>
            </w:r>
          </w:p>
        </w:tc>
      </w:tr>
      <w:tr>
        <w:trPr>
          <w:cantSplit w:val="false"/>
        </w:trPr>
        <w:tc>
          <w:tcPr>
            <w:tcW w:type="dxa" w:w="2194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S. Rubinstein; H. Wallon; J. F. Le Ny</w:t>
            </w:r>
          </w:p>
        </w:tc>
        <w:tc>
          <w:tcPr>
            <w:tcW w:type="dxa" w:w="4762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rPr>
                <w:rFonts w:cs="Times New Roman"/>
                <w:i/>
                <w:iCs/>
                <w:sz w:val="19"/>
                <w:szCs w:val="19"/>
              </w:rPr>
            </w:pPr>
            <w:r>
              <w:rPr>
                <w:rFonts w:cs="Times New Roman"/>
                <w:i/>
                <w:iCs/>
                <w:sz w:val="19"/>
                <w:szCs w:val="19"/>
              </w:rPr>
              <w:t>Problemas de teoría psicológica.</w:t>
            </w:r>
          </w:p>
        </w:tc>
        <w:tc>
          <w:tcPr>
            <w:tcW w:type="dxa" w:w="153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1965 [1955-1962]</w:t>
            </w:r>
          </w:p>
        </w:tc>
        <w:tc>
          <w:tcPr>
            <w:tcW w:type="dxa" w:w="908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Proteo</w:t>
            </w:r>
          </w:p>
        </w:tc>
      </w:tr>
      <w:tr>
        <w:trPr>
          <w:cantSplit w:val="false"/>
        </w:trPr>
        <w:tc>
          <w:tcPr>
            <w:tcW w:type="dxa" w:w="2194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H. Wallon; L. Lurçat</w:t>
            </w:r>
          </w:p>
        </w:tc>
        <w:tc>
          <w:tcPr>
            <w:tcW w:type="dxa" w:w="4762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rPr>
                <w:rFonts w:cs="Times New Roman"/>
                <w:i/>
                <w:iCs/>
                <w:sz w:val="19"/>
                <w:szCs w:val="19"/>
              </w:rPr>
            </w:pPr>
            <w:r>
              <w:rPr>
                <w:rFonts w:cs="Times New Roman"/>
                <w:i/>
                <w:iCs/>
                <w:sz w:val="19"/>
                <w:szCs w:val="19"/>
              </w:rPr>
              <w:t>El dibujo del personaje por el niño. Sus etapas y cambios.</w:t>
            </w:r>
          </w:p>
        </w:tc>
        <w:tc>
          <w:tcPr>
            <w:tcW w:type="dxa" w:w="153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1968 [1957-1960]</w:t>
            </w:r>
          </w:p>
        </w:tc>
        <w:tc>
          <w:tcPr>
            <w:tcW w:type="dxa" w:w="908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Proteo</w:t>
            </w:r>
          </w:p>
        </w:tc>
      </w:tr>
      <w:tr>
        <w:trPr>
          <w:cantSplit w:val="false"/>
        </w:trPr>
        <w:tc>
          <w:tcPr>
            <w:tcW w:type="dxa" w:w="9399"/>
            <w:gridSpan w:val="4"/>
            <w:tcBorders>
              <w:top w:color="000001" w:space="0" w:sz="2" w:val="single"/>
              <w:left w:val="nil"/>
              <w:bottom w:color="000001" w:space="0" w:sz="2" w:val="single"/>
              <w:right w:val="nil"/>
            </w:tcBorders>
            <w:shd w:fill="FFFFFF" w:val="clear"/>
          </w:tcPr>
          <w:p>
            <w:pPr>
              <w:pStyle w:val="style22"/>
              <w:ind w:hanging="0" w:left="0" w:right="0"/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Style w:val="style16"/>
                <w:rFonts w:ascii="Times New Roman" w:cs="Times New Roman" w:hAnsi="Times New Roman"/>
                <w:b/>
                <w:b/>
                <w:bCs/>
                <w:sz w:val="19"/>
                <w:sz w:val="19"/>
                <w:szCs w:val="19"/>
                <w:rtl w:val="true"/>
              </w:rPr>
              <w:t>٭</w:t>
            </w:r>
            <w:r>
              <w:rPr>
                <w:rStyle w:val="style16"/>
                <w:rFonts w:ascii="Times New Roman" w:cs="Times New Roman" w:hAnsi="Times New Roman"/>
                <w:b/>
                <w:b/>
                <w:bCs/>
                <w:sz w:val="19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Entre corchetes se indican las ediciones originales francesas. En el caso de compilación de artículos, se indica el rango de años cubierto. Las reediciones se indican luego de un punto y coma.</w:t>
            </w:r>
          </w:p>
        </w:tc>
      </w:tr>
    </w:tbl>
    <w:p>
      <w:pPr>
        <w:pStyle w:val="style0"/>
        <w:spacing w:line="100" w:lineRule="atLeast"/>
        <w:jc w:val="both"/>
        <w:rPr>
          <w:rFonts w:cs="Times New Roman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style0"/>
        <w:spacing w:line="100" w:lineRule="atLeast"/>
        <w:jc w:val="both"/>
        <w:rPr>
          <w:rFonts w:cs="Times New Roman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style0"/>
        <w:spacing w:line="100" w:lineRule="atLeast"/>
        <w:jc w:val="both"/>
        <w:rPr>
          <w:rFonts w:cs="Times New Roman"/>
          <w:b w:val="false"/>
          <w:bCs w:val="false"/>
          <w:i/>
          <w:iCs/>
        </w:rPr>
      </w:pPr>
      <w:r>
        <w:rPr>
          <w:rFonts w:cs="Times New Roman"/>
          <w:b w:val="false"/>
          <w:bCs w:val="false"/>
          <w:i/>
          <w:iCs/>
        </w:rPr>
        <w:t>Cuadro 2: Reediciones argentinas posteriores a 1968.</w:t>
      </w:r>
    </w:p>
    <w:p>
      <w:pPr>
        <w:pStyle w:val="style0"/>
        <w:spacing w:line="100" w:lineRule="atLeast"/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</w:r>
    </w:p>
    <w:tbl>
      <w:tblPr>
        <w:jc w:val="left"/>
        <w:tblInd w:type="dxa" w:w="53"/>
        <w:tblBorders>
          <w:top w:color="000001" w:space="0" w:sz="2" w:val="single"/>
          <w:left w:val="nil"/>
          <w:bottom w:color="000001" w:space="0" w:sz="2" w:val="single"/>
          <w:insideH w:color="000001" w:space="0" w:sz="2" w:val="single"/>
          <w:right w:val="nil"/>
          <w:insideV w:val="nil"/>
        </w:tblBorders>
        <w:tblCellMar>
          <w:top w:type="dxa" w:w="55"/>
          <w:left w:type="dxa" w:w="55"/>
          <w:bottom w:type="dxa" w:w="55"/>
          <w:right w:type="dxa" w:w="55"/>
        </w:tblCellMar>
      </w:tblPr>
      <w:tblGrid>
        <w:gridCol w:w="2493"/>
        <w:gridCol w:w="3796"/>
        <w:gridCol w:w="1197"/>
        <w:gridCol w:w="1910"/>
      </w:tblGrid>
      <w:tr>
        <w:trPr>
          <w:cantSplit w:val="false"/>
        </w:trPr>
        <w:tc>
          <w:tcPr>
            <w:tcW w:type="dxa" w:w="2493"/>
            <w:tcBorders>
              <w:top w:color="000001" w:space="0" w:sz="2" w:val="single"/>
              <w:left w:val="nil"/>
              <w:bottom w:color="000001" w:space="0" w:sz="2" w:val="single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b w:val="false"/>
                <w:bCs w:val="false"/>
                <w:sz w:val="19"/>
                <w:szCs w:val="19"/>
              </w:rPr>
            </w:pPr>
            <w:r>
              <w:rPr>
                <w:rFonts w:cs="Times New Roman"/>
                <w:b w:val="false"/>
                <w:bCs w:val="false"/>
                <w:sz w:val="19"/>
                <w:szCs w:val="19"/>
              </w:rPr>
              <w:t>Autor/es</w:t>
            </w:r>
          </w:p>
        </w:tc>
        <w:tc>
          <w:tcPr>
            <w:tcW w:type="dxa" w:w="3796"/>
            <w:tcBorders>
              <w:top w:color="000001" w:space="0" w:sz="2" w:val="single"/>
              <w:left w:val="nil"/>
              <w:bottom w:color="000001" w:space="0" w:sz="2" w:val="single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b w:val="false"/>
                <w:bCs w:val="false"/>
                <w:sz w:val="19"/>
                <w:szCs w:val="19"/>
              </w:rPr>
            </w:pPr>
            <w:r>
              <w:rPr>
                <w:rFonts w:cs="Times New Roman"/>
                <w:b w:val="false"/>
                <w:bCs w:val="false"/>
                <w:sz w:val="19"/>
                <w:szCs w:val="19"/>
              </w:rPr>
              <w:t>Título</w:t>
            </w:r>
          </w:p>
        </w:tc>
        <w:tc>
          <w:tcPr>
            <w:tcW w:type="dxa" w:w="1197"/>
            <w:tcBorders>
              <w:top w:color="000001" w:space="0" w:sz="2" w:val="single"/>
              <w:left w:val="nil"/>
              <w:bottom w:color="000001" w:space="0" w:sz="2" w:val="single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b w:val="false"/>
                <w:bCs w:val="false"/>
                <w:sz w:val="19"/>
                <w:szCs w:val="19"/>
              </w:rPr>
            </w:pPr>
            <w:r>
              <w:rPr>
                <w:rFonts w:cs="Times New Roman"/>
                <w:b w:val="false"/>
                <w:bCs w:val="false"/>
                <w:sz w:val="19"/>
                <w:szCs w:val="19"/>
              </w:rPr>
              <w:t>Año</w:t>
            </w:r>
          </w:p>
        </w:tc>
        <w:tc>
          <w:tcPr>
            <w:tcW w:type="dxa" w:w="1910"/>
            <w:tcBorders>
              <w:top w:color="000001" w:space="0" w:sz="2" w:val="single"/>
              <w:left w:val="nil"/>
              <w:bottom w:color="000001" w:space="0" w:sz="2" w:val="single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b w:val="false"/>
                <w:bCs w:val="false"/>
                <w:sz w:val="19"/>
                <w:szCs w:val="19"/>
              </w:rPr>
            </w:pPr>
            <w:r>
              <w:rPr>
                <w:rFonts w:cs="Times New Roman"/>
                <w:b w:val="false"/>
                <w:bCs w:val="false"/>
                <w:sz w:val="19"/>
                <w:szCs w:val="19"/>
              </w:rPr>
              <w:t>Editorial</w:t>
            </w:r>
          </w:p>
        </w:tc>
      </w:tr>
      <w:tr>
        <w:trPr>
          <w:cantSplit w:val="false"/>
        </w:trPr>
        <w:tc>
          <w:tcPr>
            <w:tcW w:type="dxa" w:w="2493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H. Wallon; J. Piaget y otros.</w:t>
            </w:r>
          </w:p>
        </w:tc>
        <w:tc>
          <w:tcPr>
            <w:tcW w:type="dxa" w:w="3796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rPr>
                <w:rFonts w:cs="Times New Roman"/>
                <w:i/>
                <w:iCs/>
                <w:sz w:val="19"/>
                <w:szCs w:val="19"/>
              </w:rPr>
            </w:pPr>
            <w:r>
              <w:rPr>
                <w:rFonts w:cs="Times New Roman"/>
                <w:i/>
                <w:iCs/>
                <w:sz w:val="19"/>
                <w:szCs w:val="19"/>
              </w:rPr>
              <w:t>Los estadios en la psicología en el niño.</w:t>
            </w:r>
          </w:p>
        </w:tc>
        <w:tc>
          <w:tcPr>
            <w:tcW w:type="dxa" w:w="1197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1971</w:t>
            </w:r>
          </w:p>
        </w:tc>
        <w:tc>
          <w:tcPr>
            <w:tcW w:type="dxa" w:w="191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Nueva Visión</w:t>
            </w:r>
          </w:p>
        </w:tc>
      </w:tr>
      <w:tr>
        <w:trPr>
          <w:cantSplit w:val="false"/>
        </w:trPr>
        <w:tc>
          <w:tcPr>
            <w:tcW w:type="dxa" w:w="2493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H. Wallon</w:t>
            </w:r>
          </w:p>
        </w:tc>
        <w:tc>
          <w:tcPr>
            <w:tcW w:type="dxa" w:w="3796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rPr>
                <w:rFonts w:cs="Times New Roman"/>
                <w:i/>
                <w:iCs/>
                <w:sz w:val="19"/>
                <w:szCs w:val="19"/>
              </w:rPr>
            </w:pPr>
            <w:r>
              <w:rPr>
                <w:rFonts w:cs="Times New Roman"/>
                <w:i/>
                <w:iCs/>
                <w:sz w:val="19"/>
                <w:szCs w:val="19"/>
              </w:rPr>
              <w:t>La evolución psicológica del niño.</w:t>
            </w:r>
          </w:p>
        </w:tc>
        <w:tc>
          <w:tcPr>
            <w:tcW w:type="dxa" w:w="1197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1972; 1979</w:t>
            </w:r>
          </w:p>
        </w:tc>
        <w:tc>
          <w:tcPr>
            <w:tcW w:type="dxa" w:w="191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Psique</w:t>
            </w:r>
          </w:p>
        </w:tc>
      </w:tr>
      <w:tr>
        <w:trPr>
          <w:cantSplit w:val="false"/>
        </w:trPr>
        <w:tc>
          <w:tcPr>
            <w:tcW w:type="dxa" w:w="2493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H. Wallon</w:t>
            </w:r>
          </w:p>
        </w:tc>
        <w:tc>
          <w:tcPr>
            <w:tcW w:type="dxa" w:w="3796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rPr>
                <w:rStyle w:val="style15"/>
                <w:rFonts w:cs="Times New Roman"/>
                <w:sz w:val="19"/>
                <w:szCs w:val="19"/>
              </w:rPr>
            </w:pPr>
            <w:r>
              <w:rPr>
                <w:rStyle w:val="style15"/>
                <w:rFonts w:cs="Times New Roman"/>
                <w:i/>
                <w:iCs/>
                <w:sz w:val="19"/>
                <w:szCs w:val="19"/>
              </w:rPr>
              <w:t>Del Acto al Pensamiento</w:t>
            </w:r>
            <w:r>
              <w:rPr>
                <w:rStyle w:val="style15"/>
                <w:rFonts w:cs="Times New Roman"/>
                <w:sz w:val="19"/>
                <w:szCs w:val="19"/>
              </w:rPr>
              <w:t>, 2da. ed.</w:t>
            </w:r>
          </w:p>
        </w:tc>
        <w:tc>
          <w:tcPr>
            <w:tcW w:type="dxa" w:w="1197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1974; 1978</w:t>
            </w:r>
          </w:p>
        </w:tc>
        <w:tc>
          <w:tcPr>
            <w:tcW w:type="dxa" w:w="191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Psique</w:t>
            </w:r>
          </w:p>
        </w:tc>
      </w:tr>
      <w:tr>
        <w:trPr>
          <w:cantSplit w:val="false"/>
        </w:trPr>
        <w:tc>
          <w:tcPr>
            <w:tcW w:type="dxa" w:w="2493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H. Wallon</w:t>
            </w:r>
          </w:p>
        </w:tc>
        <w:tc>
          <w:tcPr>
            <w:tcW w:type="dxa" w:w="3796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rPr>
                <w:rFonts w:cs="Times New Roman"/>
                <w:i/>
                <w:iCs/>
                <w:sz w:val="19"/>
                <w:szCs w:val="19"/>
              </w:rPr>
            </w:pPr>
            <w:r>
              <w:rPr>
                <w:rFonts w:cs="Times New Roman"/>
                <w:i/>
                <w:iCs/>
                <w:sz w:val="19"/>
                <w:szCs w:val="19"/>
              </w:rPr>
              <w:t>Los orígenes del carácter en el niño.</w:t>
            </w:r>
          </w:p>
        </w:tc>
        <w:tc>
          <w:tcPr>
            <w:tcW w:type="dxa" w:w="1197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1975; 1976</w:t>
            </w:r>
          </w:p>
        </w:tc>
        <w:tc>
          <w:tcPr>
            <w:tcW w:type="dxa" w:w="191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Nueva Visión; Psique</w:t>
            </w:r>
          </w:p>
        </w:tc>
      </w:tr>
      <w:tr>
        <w:trPr>
          <w:cantSplit w:val="false"/>
        </w:trPr>
        <w:tc>
          <w:tcPr>
            <w:tcW w:type="dxa" w:w="2493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H. Wallon</w:t>
            </w:r>
          </w:p>
        </w:tc>
        <w:tc>
          <w:tcPr>
            <w:tcW w:type="dxa" w:w="3796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center"/>
          </w:tcPr>
          <w:p>
            <w:pPr>
              <w:pStyle w:val="style0"/>
              <w:rPr>
                <w:rFonts w:cs="Times New Roman"/>
                <w:i/>
                <w:iCs/>
                <w:sz w:val="19"/>
                <w:szCs w:val="19"/>
              </w:rPr>
            </w:pPr>
            <w:r>
              <w:rPr>
                <w:rFonts w:cs="Times New Roman"/>
                <w:i/>
                <w:iCs/>
                <w:sz w:val="19"/>
                <w:szCs w:val="19"/>
              </w:rPr>
              <w:t>Los orígenes del pensamiento en el niño I – II.</w:t>
            </w:r>
          </w:p>
        </w:tc>
        <w:tc>
          <w:tcPr>
            <w:tcW w:type="dxa" w:w="1197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1976</w:t>
            </w:r>
          </w:p>
        </w:tc>
        <w:tc>
          <w:tcPr>
            <w:tcW w:type="dxa" w:w="1910"/>
            <w:tcBorders>
              <w:top w:val="nil"/>
              <w:left w:val="nil"/>
              <w:bottom w:color="000001" w:space="0" w:sz="2" w:val="single"/>
              <w:right w:val="nil"/>
            </w:tcBorders>
            <w:shd w:fill="FFFFFF" w:val="clear"/>
            <w:vAlign w:val="center"/>
          </w:tcPr>
          <w:p>
            <w:pPr>
              <w:pStyle w:val="style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Nueva Visión</w:t>
            </w:r>
          </w:p>
        </w:tc>
      </w:tr>
    </w:tbl>
    <w:p>
      <w:pPr>
        <w:pStyle w:val="style0"/>
        <w:spacing w:line="100" w:lineRule="atLeast"/>
        <w:ind w:hanging="0" w:left="0" w:right="0"/>
        <w:jc w:val="both"/>
        <w:rPr>
          <w:rFonts w:cs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0"/>
        <w:spacing w:line="480" w:lineRule="auto"/>
        <w:jc w:val="both"/>
        <w:rPr>
          <w:rFonts w:cs="Times New Roman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</w:pPr>
    <w:rPr>
      <w:rFonts w:ascii="Times New Roman" w:cs="Lohit Hindi" w:eastAsia="WenQuanYi Micro Hei" w:hAnsi="Times New Roman"/>
      <w:color w:val="auto"/>
      <w:sz w:val="24"/>
      <w:szCs w:val="24"/>
      <w:lang w:bidi="hi-IN" w:eastAsia="zh-CN" w:val="es-ES"/>
    </w:rPr>
  </w:style>
  <w:style w:styleId="style15" w:type="character">
    <w:name w:val="Fuente de párrafo predeter."/>
    <w:next w:val="style15"/>
    <w:rPr/>
  </w:style>
  <w:style w:styleId="style16" w:type="character">
    <w:name w:val="Ref. de nota al pie"/>
    <w:next w:val="style16"/>
    <w:rPr>
      <w:sz w:val="16"/>
    </w:rPr>
  </w:style>
  <w:style w:styleId="style17" w:type="paragraph">
    <w:name w:val="Heading"/>
    <w:basedOn w:val="style0"/>
    <w:next w:val="style18"/>
    <w:pPr>
      <w:keepNext/>
      <w:spacing w:after="120" w:before="240"/>
      <w:contextualSpacing w:val="false"/>
    </w:pPr>
    <w:rPr>
      <w:rFonts w:ascii="Arial" w:cs="Lohit Hindi" w:eastAsia="WenQuanYi Micro Hei" w:hAnsi="Arial"/>
      <w:sz w:val="28"/>
      <w:szCs w:val="28"/>
    </w:rPr>
  </w:style>
  <w:style w:styleId="style18" w:type="paragraph">
    <w:name w:val="Text Body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"/>
    <w:basedOn w:val="style18"/>
    <w:next w:val="style19"/>
    <w:pPr/>
    <w:rPr>
      <w:rFonts w:cs="Lohit Hindi"/>
    </w:rPr>
  </w:style>
  <w:style w:styleId="style20" w:type="paragraph">
    <w:name w:val="Caption"/>
    <w:basedOn w:val="style0"/>
    <w:next w:val="style20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1" w:type="paragraph">
    <w:name w:val="Index"/>
    <w:basedOn w:val="style0"/>
    <w:next w:val="style21"/>
    <w:pPr>
      <w:suppressLineNumbers/>
    </w:pPr>
    <w:rPr>
      <w:rFonts w:cs="Lohit Hindi"/>
    </w:rPr>
  </w:style>
  <w:style w:styleId="style22" w:type="paragraph">
    <w:name w:val="Footnote"/>
    <w:basedOn w:val="style0"/>
    <w:next w:val="style22"/>
    <w:pPr>
      <w:widowControl w:val="false"/>
      <w:suppressLineNumbers/>
      <w:suppressAutoHyphens w:val="true"/>
      <w:overflowPunct w:val="false"/>
      <w:ind w:hanging="283" w:left="283" w:right="0"/>
    </w:pPr>
    <w:rPr>
      <w:rFonts w:ascii="Liberation Serif" w:cs="DejaVu Sans" w:eastAsia="DejaVu Sans" w:hAnsi="Liberation Serif"/>
      <w:color w:val="00000A"/>
      <w:sz w:val="20"/>
      <w:szCs w:val="20"/>
      <w:lang w:bidi="zxx-" w:eastAsia="zxx-" w:val="es-M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2013-11-14T23:11:00Z</dcterms:created>
  <cp:revision>0</cp:revision>
</cp:coreProperties>
</file>