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D1" w:rsidRPr="00C44DD1" w:rsidRDefault="00C44DD1" w:rsidP="00C44D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</w:pPr>
      <w:r w:rsidRPr="00C44DD1">
        <w:rPr>
          <w:rFonts w:ascii="Times New Roman" w:eastAsia="Times New Roman" w:hAnsi="Times New Roman" w:cs="Times New Roman"/>
          <w:b/>
          <w:sz w:val="24"/>
          <w:szCs w:val="24"/>
          <w:lang w:val="es-VE" w:eastAsia="es-ES"/>
        </w:rPr>
        <w:t>Anexos</w:t>
      </w:r>
    </w:p>
    <w:p w:rsidR="00C44DD1" w:rsidRPr="00C44DD1" w:rsidRDefault="00C44DD1" w:rsidP="00C44D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</w:pPr>
    </w:p>
    <w:p w:rsidR="00C44DD1" w:rsidRPr="00C44DD1" w:rsidRDefault="00C44DD1" w:rsidP="00C44D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</w:pPr>
      <w:proofErr w:type="spellStart"/>
      <w:r w:rsidRPr="00C44DD1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Tabla</w:t>
      </w:r>
      <w:proofErr w:type="spellEnd"/>
      <w:r w:rsidRPr="00C44DD1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 xml:space="preserve"> 1: </w:t>
      </w:r>
      <w:r w:rsidRPr="00C44DD1">
        <w:rPr>
          <w:rFonts w:ascii="Times New Roman" w:eastAsia="Times New Roman" w:hAnsi="Times New Roman" w:cs="Times New Roman"/>
          <w:b/>
          <w:sz w:val="24"/>
          <w:szCs w:val="24"/>
          <w:lang w:val="es-VE" w:eastAsia="es-ES"/>
        </w:rPr>
        <w:t>Estudios</w:t>
      </w:r>
      <w:r w:rsidRPr="00C44DD1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 xml:space="preserve"> </w:t>
      </w:r>
      <w:proofErr w:type="spellStart"/>
      <w:r w:rsidRPr="00C44DD1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Seleccionados</w:t>
      </w:r>
      <w:proofErr w:type="spellEnd"/>
      <w:r w:rsidRPr="00C44DD1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 xml:space="preserve"> </w:t>
      </w:r>
    </w:p>
    <w:p w:rsidR="00C44DD1" w:rsidRPr="00C44DD1" w:rsidRDefault="00C44DD1" w:rsidP="00C44D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</w:pPr>
    </w:p>
    <w:tbl>
      <w:tblPr>
        <w:tblStyle w:val="Tablabsica1"/>
        <w:tblW w:w="0" w:type="auto"/>
        <w:tblLook w:val="04A0"/>
      </w:tblPr>
      <w:tblGrid>
        <w:gridCol w:w="2373"/>
        <w:gridCol w:w="2373"/>
        <w:gridCol w:w="2374"/>
        <w:gridCol w:w="2374"/>
      </w:tblGrid>
      <w:tr w:rsidR="00C44DD1" w:rsidRPr="00C44DD1" w:rsidTr="00C06D0D">
        <w:trPr>
          <w:cnfStyle w:val="100000000000"/>
        </w:trPr>
        <w:tc>
          <w:tcPr>
            <w:tcW w:w="2373" w:type="dxa"/>
          </w:tcPr>
          <w:p w:rsidR="00C44DD1" w:rsidRPr="00C44DD1" w:rsidRDefault="00C44DD1" w:rsidP="00C44DD1">
            <w:pPr>
              <w:jc w:val="both"/>
              <w:rPr>
                <w:b/>
                <w:sz w:val="14"/>
                <w:szCs w:val="14"/>
                <w:highlight w:val="red"/>
                <w:lang w:val="es-ES" w:eastAsia="es-ES"/>
              </w:rPr>
            </w:pPr>
            <w:r w:rsidRPr="00C44DD1">
              <w:rPr>
                <w:b/>
                <w:sz w:val="14"/>
                <w:szCs w:val="14"/>
                <w:lang w:val="es-ES" w:eastAsia="es-ES"/>
              </w:rPr>
              <w:t>Autor-año</w:t>
            </w:r>
          </w:p>
        </w:tc>
        <w:tc>
          <w:tcPr>
            <w:tcW w:w="2373" w:type="dxa"/>
          </w:tcPr>
          <w:p w:rsidR="00C44DD1" w:rsidRPr="00C44DD1" w:rsidRDefault="00C44DD1" w:rsidP="00C44DD1">
            <w:pPr>
              <w:jc w:val="both"/>
              <w:rPr>
                <w:b/>
                <w:sz w:val="14"/>
                <w:szCs w:val="14"/>
                <w:highlight w:val="red"/>
                <w:lang w:val="es-ES" w:eastAsia="es-ES"/>
              </w:rPr>
            </w:pPr>
            <w:r w:rsidRPr="00C44DD1">
              <w:rPr>
                <w:b/>
                <w:sz w:val="14"/>
                <w:szCs w:val="14"/>
                <w:lang w:val="es-ES" w:eastAsia="es-ES"/>
              </w:rPr>
              <w:t>Muestra</w:t>
            </w:r>
          </w:p>
        </w:tc>
        <w:tc>
          <w:tcPr>
            <w:tcW w:w="2374" w:type="dxa"/>
          </w:tcPr>
          <w:p w:rsidR="00C44DD1" w:rsidRPr="00C44DD1" w:rsidRDefault="00C44DD1" w:rsidP="00C44DD1">
            <w:pPr>
              <w:jc w:val="both"/>
              <w:rPr>
                <w:b/>
                <w:sz w:val="14"/>
                <w:szCs w:val="14"/>
                <w:highlight w:val="red"/>
                <w:lang w:val="es-ES" w:eastAsia="es-ES"/>
              </w:rPr>
            </w:pPr>
            <w:proofErr w:type="spellStart"/>
            <w:r w:rsidRPr="00C44DD1">
              <w:rPr>
                <w:b/>
                <w:sz w:val="14"/>
                <w:szCs w:val="14"/>
                <w:lang w:val="es-ES" w:eastAsia="es-ES"/>
              </w:rPr>
              <w:t>Aparatología</w:t>
            </w:r>
            <w:proofErr w:type="spellEnd"/>
          </w:p>
        </w:tc>
        <w:tc>
          <w:tcPr>
            <w:tcW w:w="2374" w:type="dxa"/>
          </w:tcPr>
          <w:p w:rsidR="00C44DD1" w:rsidRPr="00C44DD1" w:rsidRDefault="00C44DD1" w:rsidP="00C44DD1">
            <w:pPr>
              <w:jc w:val="both"/>
              <w:rPr>
                <w:b/>
                <w:sz w:val="14"/>
                <w:szCs w:val="14"/>
                <w:lang w:val="es-ES" w:eastAsia="es-ES"/>
              </w:rPr>
            </w:pPr>
            <w:r w:rsidRPr="00C44DD1">
              <w:rPr>
                <w:b/>
                <w:sz w:val="14"/>
                <w:szCs w:val="14"/>
                <w:lang w:val="es-ES" w:eastAsia="es-ES"/>
              </w:rPr>
              <w:t>Técnica</w:t>
            </w:r>
          </w:p>
        </w:tc>
      </w:tr>
      <w:tr w:rsidR="00C44DD1" w:rsidRPr="00C44DD1" w:rsidTr="00C06D0D">
        <w:tc>
          <w:tcPr>
            <w:tcW w:w="2373" w:type="dxa"/>
          </w:tcPr>
          <w:p w:rsidR="00C44DD1" w:rsidRPr="00C44DD1" w:rsidRDefault="00C44DD1" w:rsidP="00C44DD1">
            <w:pPr>
              <w:jc w:val="both"/>
              <w:rPr>
                <w:sz w:val="14"/>
                <w:szCs w:val="14"/>
                <w:highlight w:val="red"/>
                <w:lang w:val="es-ES" w:eastAsia="es-ES"/>
              </w:rPr>
            </w:pP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Servert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Dogan-2012</w:t>
            </w:r>
            <w:r w:rsidRPr="00C44DD1">
              <w:rPr>
                <w:sz w:val="14"/>
                <w:szCs w:val="14"/>
                <w:vertAlign w:val="superscript"/>
                <w:lang w:val="es-ES" w:eastAsia="es-ES"/>
              </w:rPr>
              <w:t>33</w:t>
            </w:r>
          </w:p>
        </w:tc>
        <w:tc>
          <w:tcPr>
            <w:tcW w:w="2373" w:type="dxa"/>
          </w:tcPr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40 individuos:</w:t>
            </w:r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20 LPH unilateral</w:t>
            </w:r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highlight w:val="red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20 control sin hendidura y clase III</w:t>
            </w:r>
          </w:p>
        </w:tc>
        <w:tc>
          <w:tcPr>
            <w:tcW w:w="2374" w:type="dxa"/>
          </w:tcPr>
          <w:p w:rsidR="00C44DD1" w:rsidRPr="00C44DD1" w:rsidRDefault="00C44DD1" w:rsidP="00C44DD1">
            <w:pPr>
              <w:jc w:val="both"/>
              <w:rPr>
                <w:sz w:val="14"/>
                <w:szCs w:val="14"/>
                <w:highlight w:val="red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Máscara facial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Delaire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mas aparato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intraoral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hyrax</w:t>
            </w:r>
            <w:proofErr w:type="spellEnd"/>
          </w:p>
        </w:tc>
        <w:tc>
          <w:tcPr>
            <w:tcW w:w="2374" w:type="dxa"/>
          </w:tcPr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Máscara: 800g Fuerza</w:t>
            </w:r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           25°bajo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oclusal</w:t>
            </w:r>
            <w:proofErr w:type="spellEnd"/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highlight w:val="red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Activación: ERM</w:t>
            </w:r>
          </w:p>
        </w:tc>
      </w:tr>
      <w:tr w:rsidR="00C44DD1" w:rsidRPr="00C44DD1" w:rsidTr="00C06D0D">
        <w:tc>
          <w:tcPr>
            <w:tcW w:w="2373" w:type="dxa"/>
          </w:tcPr>
          <w:p w:rsidR="00C44DD1" w:rsidRPr="00C44DD1" w:rsidRDefault="00C44DD1" w:rsidP="00C44DD1">
            <w:pPr>
              <w:jc w:val="both"/>
              <w:rPr>
                <w:sz w:val="14"/>
                <w:szCs w:val="14"/>
                <w:highlight w:val="red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Gustavo Da Luz Vieira y col 2009</w:t>
            </w:r>
            <w:r w:rsidRPr="00C44DD1">
              <w:rPr>
                <w:sz w:val="14"/>
                <w:szCs w:val="14"/>
                <w:vertAlign w:val="superscript"/>
                <w:lang w:val="es-ES" w:eastAsia="es-ES"/>
              </w:rPr>
              <w:t>27</w:t>
            </w:r>
            <w:r w:rsidRPr="00C44DD1">
              <w:rPr>
                <w:sz w:val="14"/>
                <w:szCs w:val="14"/>
                <w:lang w:val="es-ES" w:eastAsia="es-ES"/>
              </w:rPr>
              <w:t xml:space="preserve">  </w:t>
            </w:r>
          </w:p>
        </w:tc>
        <w:tc>
          <w:tcPr>
            <w:tcW w:w="2373" w:type="dxa"/>
          </w:tcPr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20 individuos LPH unilateral: 2 grupos</w:t>
            </w:r>
          </w:p>
        </w:tc>
        <w:tc>
          <w:tcPr>
            <w:tcW w:w="2374" w:type="dxa"/>
          </w:tcPr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Máscara Facial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Petit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y</w:t>
            </w:r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highlight w:val="red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Aparato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intraoral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 tornillo de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Hass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modificado</w:t>
            </w:r>
          </w:p>
        </w:tc>
        <w:tc>
          <w:tcPr>
            <w:tcW w:w="2374" w:type="dxa"/>
          </w:tcPr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Máscara: 500gramos</w:t>
            </w:r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          30° bajo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oclusal</w:t>
            </w:r>
            <w:proofErr w:type="spellEnd"/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Activación:</w:t>
            </w:r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A:Expansión convencional</w:t>
            </w:r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highlight w:val="red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B: Expansión y constricción</w:t>
            </w:r>
          </w:p>
        </w:tc>
      </w:tr>
      <w:tr w:rsidR="00C44DD1" w:rsidRPr="00C44DD1" w:rsidTr="00C06D0D">
        <w:tc>
          <w:tcPr>
            <w:tcW w:w="2373" w:type="dxa"/>
          </w:tcPr>
          <w:p w:rsidR="00C44DD1" w:rsidRPr="00C44DD1" w:rsidRDefault="00C44DD1" w:rsidP="00C44DD1">
            <w:pPr>
              <w:jc w:val="both"/>
              <w:rPr>
                <w:sz w:val="14"/>
                <w:szCs w:val="14"/>
                <w:highlight w:val="red"/>
                <w:lang w:val="es-ES" w:eastAsia="es-ES"/>
              </w:rPr>
            </w:pP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Haichao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Jiaa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2008</w:t>
            </w:r>
            <w:r w:rsidRPr="00C44DD1">
              <w:rPr>
                <w:sz w:val="14"/>
                <w:szCs w:val="14"/>
                <w:vertAlign w:val="superscript"/>
                <w:lang w:val="es-ES" w:eastAsia="es-ES"/>
              </w:rPr>
              <w:t>19</w:t>
            </w:r>
          </w:p>
        </w:tc>
        <w:tc>
          <w:tcPr>
            <w:tcW w:w="2373" w:type="dxa"/>
          </w:tcPr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36 individuos:</w:t>
            </w:r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18 niños LPH unilateral</w:t>
            </w:r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highlight w:val="red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18 niños: control sin hendidura</w:t>
            </w:r>
          </w:p>
        </w:tc>
        <w:tc>
          <w:tcPr>
            <w:tcW w:w="2374" w:type="dxa"/>
          </w:tcPr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Máscara facial sin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esfecificar</w:t>
            </w:r>
            <w:proofErr w:type="spellEnd"/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highlight w:val="red"/>
                <w:lang w:val="es-ES" w:eastAsia="es-ES"/>
              </w:rPr>
            </w:pPr>
            <w:proofErr w:type="gramStart"/>
            <w:r w:rsidRPr="00C44DD1">
              <w:rPr>
                <w:sz w:val="14"/>
                <w:szCs w:val="14"/>
                <w:lang w:val="es-ES" w:eastAsia="es-ES"/>
              </w:rPr>
              <w:t>aparato</w:t>
            </w:r>
            <w:proofErr w:type="gram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intraoral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con tornillo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Hyrax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>.</w:t>
            </w:r>
          </w:p>
        </w:tc>
        <w:tc>
          <w:tcPr>
            <w:tcW w:w="2374" w:type="dxa"/>
          </w:tcPr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Máscara: 450-500gr.</w:t>
            </w:r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          10°bajo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oclusal</w:t>
            </w:r>
            <w:proofErr w:type="spellEnd"/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highlight w:val="red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Activación: Sin especificar</w:t>
            </w:r>
          </w:p>
        </w:tc>
      </w:tr>
      <w:tr w:rsidR="00C44DD1" w:rsidRPr="00C44DD1" w:rsidTr="00C06D0D">
        <w:tc>
          <w:tcPr>
            <w:tcW w:w="2373" w:type="dxa"/>
          </w:tcPr>
          <w:p w:rsidR="00C44DD1" w:rsidRPr="00C44DD1" w:rsidRDefault="00C44DD1" w:rsidP="00C44DD1">
            <w:pPr>
              <w:jc w:val="both"/>
              <w:rPr>
                <w:sz w:val="14"/>
                <w:szCs w:val="14"/>
                <w:highlight w:val="red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Ahmed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abdel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Fattah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2008</w:t>
            </w:r>
            <w:r w:rsidRPr="00C44DD1">
              <w:rPr>
                <w:sz w:val="14"/>
                <w:szCs w:val="14"/>
                <w:vertAlign w:val="superscript"/>
                <w:lang w:val="es-ES" w:eastAsia="es-ES"/>
              </w:rPr>
              <w:t xml:space="preserve">29 </w:t>
            </w:r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</w:p>
        </w:tc>
        <w:tc>
          <w:tcPr>
            <w:tcW w:w="2373" w:type="dxa"/>
          </w:tcPr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20 individuos</w:t>
            </w:r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10 LPH unilateral</w:t>
            </w:r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highlight w:val="red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10 sin Hendidura</w:t>
            </w:r>
          </w:p>
        </w:tc>
        <w:tc>
          <w:tcPr>
            <w:tcW w:w="2374" w:type="dxa"/>
          </w:tcPr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Mascara facial: Sin especificar</w:t>
            </w:r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highlight w:val="red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Aparato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intraoral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arco palatino</w:t>
            </w:r>
          </w:p>
        </w:tc>
        <w:tc>
          <w:tcPr>
            <w:tcW w:w="2374" w:type="dxa"/>
          </w:tcPr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Mascara: 250-350g</w:t>
            </w:r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highlight w:val="red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Activación: Aparato no fue activado, se utilizo como anclaje.</w:t>
            </w:r>
          </w:p>
        </w:tc>
      </w:tr>
      <w:tr w:rsidR="00C44DD1" w:rsidRPr="00C44DD1" w:rsidTr="00C06D0D">
        <w:tc>
          <w:tcPr>
            <w:tcW w:w="2373" w:type="dxa"/>
          </w:tcPr>
          <w:p w:rsidR="00C44DD1" w:rsidRPr="00C44DD1" w:rsidRDefault="00C44DD1" w:rsidP="00C44DD1">
            <w:pPr>
              <w:jc w:val="both"/>
              <w:rPr>
                <w:sz w:val="14"/>
                <w:szCs w:val="14"/>
                <w:highlight w:val="red"/>
                <w:lang w:val="es-ES" w:eastAsia="es-ES"/>
              </w:rPr>
            </w:pP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Buschang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PH 1994</w:t>
            </w:r>
            <w:r w:rsidRPr="00C44DD1">
              <w:rPr>
                <w:sz w:val="14"/>
                <w:szCs w:val="14"/>
                <w:vertAlign w:val="superscript"/>
                <w:lang w:val="es-ES" w:eastAsia="es-ES"/>
              </w:rPr>
              <w:t>7</w:t>
            </w:r>
          </w:p>
        </w:tc>
        <w:tc>
          <w:tcPr>
            <w:tcW w:w="2373" w:type="dxa"/>
          </w:tcPr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21 niños LPH Unilateral</w:t>
            </w:r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highlight w:val="red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21 niños sin hendidura</w:t>
            </w:r>
          </w:p>
        </w:tc>
        <w:tc>
          <w:tcPr>
            <w:tcW w:w="2374" w:type="dxa"/>
          </w:tcPr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Mascara facial de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Petit</w:t>
            </w:r>
            <w:proofErr w:type="spellEnd"/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highlight w:val="red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Aparato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intraoral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Placa acrílica con cobertura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oclusal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con tornillo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expansor</w:t>
            </w:r>
            <w:proofErr w:type="spellEnd"/>
          </w:p>
        </w:tc>
        <w:tc>
          <w:tcPr>
            <w:tcW w:w="2374" w:type="dxa"/>
          </w:tcPr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Mascara: 450g </w:t>
            </w:r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highlight w:val="red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Activación: activo 0,2mm/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dia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por un mes,</w:t>
            </w:r>
          </w:p>
        </w:tc>
      </w:tr>
      <w:tr w:rsidR="00C44DD1" w:rsidRPr="00C44DD1" w:rsidTr="00C06D0D">
        <w:tc>
          <w:tcPr>
            <w:tcW w:w="2373" w:type="dxa"/>
          </w:tcPr>
          <w:p w:rsidR="00C44DD1" w:rsidRPr="00C44DD1" w:rsidRDefault="00C44DD1" w:rsidP="00C44DD1">
            <w:pPr>
              <w:jc w:val="both"/>
              <w:rPr>
                <w:sz w:val="14"/>
                <w:szCs w:val="14"/>
                <w:highlight w:val="red"/>
                <w:vertAlign w:val="superscript"/>
                <w:lang w:val="es-ES" w:eastAsia="es-ES"/>
              </w:rPr>
            </w:pP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Rolf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Tinlud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1994</w:t>
            </w:r>
            <w:r w:rsidRPr="00C44DD1">
              <w:rPr>
                <w:sz w:val="14"/>
                <w:szCs w:val="14"/>
                <w:vertAlign w:val="superscript"/>
                <w:lang w:val="es-ES" w:eastAsia="es-ES"/>
              </w:rPr>
              <w:t>26</w:t>
            </w:r>
          </w:p>
        </w:tc>
        <w:tc>
          <w:tcPr>
            <w:tcW w:w="2373" w:type="dxa"/>
          </w:tcPr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72 individuos</w:t>
            </w:r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48 LPH Unilateral</w:t>
            </w:r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17 LPH Bilateral</w:t>
            </w:r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5 PH  aislado</w:t>
            </w:r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2 LH aislado</w:t>
            </w:r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highlight w:val="red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No hubo grupo control</w:t>
            </w:r>
          </w:p>
        </w:tc>
        <w:tc>
          <w:tcPr>
            <w:tcW w:w="2374" w:type="dxa"/>
          </w:tcPr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Mascara facial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Delaire</w:t>
            </w:r>
            <w:proofErr w:type="spellEnd"/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Aparato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intraoral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quad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helix</w:t>
            </w:r>
            <w:proofErr w:type="spellEnd"/>
          </w:p>
        </w:tc>
        <w:tc>
          <w:tcPr>
            <w:tcW w:w="2374" w:type="dxa"/>
          </w:tcPr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Mascara: 350g 15º bajo el plano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oclusal</w:t>
            </w:r>
            <w:proofErr w:type="spellEnd"/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Activación: usaba una reactivación del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Quad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hélix cada 6 semanas por 3 meses</w:t>
            </w:r>
          </w:p>
        </w:tc>
      </w:tr>
      <w:tr w:rsidR="00C44DD1" w:rsidRPr="00C44DD1" w:rsidTr="00C06D0D">
        <w:tc>
          <w:tcPr>
            <w:tcW w:w="2373" w:type="dxa"/>
          </w:tcPr>
          <w:p w:rsidR="00C44DD1" w:rsidRPr="00C44DD1" w:rsidRDefault="00C44DD1" w:rsidP="00C44DD1">
            <w:pPr>
              <w:jc w:val="both"/>
              <w:rPr>
                <w:sz w:val="14"/>
                <w:szCs w:val="14"/>
                <w:vertAlign w:val="superscript"/>
                <w:lang w:val="es-ES" w:eastAsia="es-ES"/>
              </w:rPr>
            </w:pP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Rolf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Tinlud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1993</w:t>
            </w:r>
            <w:r w:rsidRPr="00C44DD1">
              <w:rPr>
                <w:sz w:val="14"/>
                <w:szCs w:val="14"/>
                <w:vertAlign w:val="superscript"/>
                <w:lang w:val="es-ES" w:eastAsia="es-ES"/>
              </w:rPr>
              <w:t>17</w:t>
            </w:r>
          </w:p>
        </w:tc>
        <w:tc>
          <w:tcPr>
            <w:tcW w:w="2373" w:type="dxa"/>
          </w:tcPr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90 individuos:</w:t>
            </w:r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63 LPH Unilateral</w:t>
            </w:r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24 LPH Bilateral</w:t>
            </w:r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Grupo Control: 41 individuos sin hendiduras</w:t>
            </w:r>
          </w:p>
        </w:tc>
        <w:tc>
          <w:tcPr>
            <w:tcW w:w="2374" w:type="dxa"/>
          </w:tcPr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Mascara facial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Delaire</w:t>
            </w:r>
            <w:proofErr w:type="spellEnd"/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Aparato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intraoral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quad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helix</w:t>
            </w:r>
            <w:proofErr w:type="spellEnd"/>
          </w:p>
        </w:tc>
        <w:tc>
          <w:tcPr>
            <w:tcW w:w="2374" w:type="dxa"/>
          </w:tcPr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Mascara: 350g 15º bajo el plano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oclusal</w:t>
            </w:r>
            <w:proofErr w:type="spellEnd"/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Activación: usaba una reactivación del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Quad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hélix cada 6 semanas por 3 meses</w:t>
            </w:r>
          </w:p>
        </w:tc>
      </w:tr>
      <w:tr w:rsidR="00C44DD1" w:rsidRPr="00C44DD1" w:rsidTr="00C06D0D">
        <w:tc>
          <w:tcPr>
            <w:tcW w:w="2373" w:type="dxa"/>
          </w:tcPr>
          <w:p w:rsidR="00C44DD1" w:rsidRPr="00C44DD1" w:rsidRDefault="00C44DD1" w:rsidP="00C44DD1">
            <w:pPr>
              <w:jc w:val="both"/>
              <w:rPr>
                <w:sz w:val="14"/>
                <w:szCs w:val="14"/>
                <w:highlight w:val="red"/>
                <w:vertAlign w:val="superscript"/>
                <w:lang w:val="es-ES" w:eastAsia="es-ES"/>
              </w:rPr>
            </w:pP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Rolf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Tinlud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1993</w:t>
            </w:r>
            <w:r w:rsidRPr="00C44DD1">
              <w:rPr>
                <w:sz w:val="14"/>
                <w:szCs w:val="14"/>
                <w:vertAlign w:val="superscript"/>
                <w:lang w:val="es-ES" w:eastAsia="es-ES"/>
              </w:rPr>
              <w:t>20</w:t>
            </w:r>
          </w:p>
        </w:tc>
        <w:tc>
          <w:tcPr>
            <w:tcW w:w="2373" w:type="dxa"/>
          </w:tcPr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98 individuos:</w:t>
            </w:r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63 LPH Unilateral</w:t>
            </w:r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24 LPH Bilateral</w:t>
            </w:r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8 PH aislada</w:t>
            </w:r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3 LH aislado </w:t>
            </w:r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highlight w:val="red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Grupo Control: 41 individuos sin hendiduras</w:t>
            </w:r>
          </w:p>
        </w:tc>
        <w:tc>
          <w:tcPr>
            <w:tcW w:w="2374" w:type="dxa"/>
          </w:tcPr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Mascara facial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Delaire</w:t>
            </w:r>
            <w:proofErr w:type="spellEnd"/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highlight w:val="red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Aparato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intraoral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quad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helix</w:t>
            </w:r>
            <w:proofErr w:type="spellEnd"/>
          </w:p>
        </w:tc>
        <w:tc>
          <w:tcPr>
            <w:tcW w:w="2374" w:type="dxa"/>
          </w:tcPr>
          <w:p w:rsidR="00C44DD1" w:rsidRPr="00C44DD1" w:rsidRDefault="00C44DD1" w:rsidP="00C44DD1">
            <w:pPr>
              <w:jc w:val="both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Mascara: 350g 15º bajo el plano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oclusal</w:t>
            </w:r>
            <w:proofErr w:type="spellEnd"/>
          </w:p>
          <w:p w:rsidR="00C44DD1" w:rsidRPr="00C44DD1" w:rsidRDefault="00C44DD1" w:rsidP="00C44DD1">
            <w:pPr>
              <w:jc w:val="both"/>
              <w:rPr>
                <w:sz w:val="14"/>
                <w:szCs w:val="14"/>
                <w:highlight w:val="red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Activación: usaba una reactivación del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Quad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hélix cada 6 semanas por 3 meses</w:t>
            </w:r>
          </w:p>
        </w:tc>
      </w:tr>
    </w:tbl>
    <w:p w:rsidR="00C44DD1" w:rsidRPr="00C44DD1" w:rsidRDefault="00C44DD1" w:rsidP="00C4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4DD1" w:rsidRPr="00C44DD1" w:rsidRDefault="00C44DD1" w:rsidP="00C4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44DD1" w:rsidRPr="00C44DD1" w:rsidRDefault="00C44DD1" w:rsidP="00C4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44DD1" w:rsidRPr="00C44DD1" w:rsidRDefault="00C44DD1" w:rsidP="00C4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44DD1" w:rsidRPr="00C44DD1" w:rsidRDefault="00C44DD1" w:rsidP="00C4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44DD1" w:rsidRPr="00C44DD1" w:rsidRDefault="00C44DD1" w:rsidP="00C4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44DD1" w:rsidRPr="00C44DD1" w:rsidRDefault="00C44DD1" w:rsidP="00C4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44DD1" w:rsidRPr="00C44DD1" w:rsidRDefault="00C44DD1" w:rsidP="00C4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44DD1" w:rsidRPr="00C44DD1" w:rsidRDefault="00C44DD1" w:rsidP="00C4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44DD1" w:rsidRPr="00C44DD1" w:rsidRDefault="00C44DD1" w:rsidP="00C4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44DD1" w:rsidRPr="00C44DD1" w:rsidRDefault="00C44DD1" w:rsidP="00C4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44DD1" w:rsidRPr="00C44DD1" w:rsidRDefault="00C44DD1" w:rsidP="00C4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44DD1" w:rsidRPr="00C44DD1" w:rsidRDefault="00C44DD1" w:rsidP="00C4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44DD1" w:rsidRPr="00C44DD1" w:rsidRDefault="00C44DD1" w:rsidP="00C4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44DD1" w:rsidRPr="00C44DD1" w:rsidRDefault="00C44DD1" w:rsidP="00C4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44DD1" w:rsidRPr="00C44DD1" w:rsidRDefault="00C44DD1" w:rsidP="00C4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44DD1" w:rsidRPr="00C44DD1" w:rsidRDefault="00C44DD1" w:rsidP="00C4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44DD1" w:rsidRPr="00C44DD1" w:rsidRDefault="00C44DD1" w:rsidP="00C4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44DD1" w:rsidRPr="00C44DD1" w:rsidRDefault="00C44DD1" w:rsidP="00C4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44DD1" w:rsidRPr="00C44DD1" w:rsidRDefault="00C44DD1" w:rsidP="00C4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44DD1" w:rsidRPr="00C44DD1" w:rsidRDefault="00C44DD1" w:rsidP="00C44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C44DD1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lastRenderedPageBreak/>
        <w:t>Tabla 2: Comparación del pre y el post tratamientos en cuanto a los cambios obtenidos entre los diferentes autores a nivel esquelético</w:t>
      </w:r>
    </w:p>
    <w:p w:rsidR="00C44DD1" w:rsidRPr="00C44DD1" w:rsidRDefault="00C44DD1" w:rsidP="00C44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tbl>
      <w:tblPr>
        <w:tblStyle w:val="Tablabsica1"/>
        <w:tblW w:w="9464" w:type="dxa"/>
        <w:tblLook w:val="04A0"/>
      </w:tblPr>
      <w:tblGrid>
        <w:gridCol w:w="1116"/>
        <w:gridCol w:w="1260"/>
        <w:gridCol w:w="1263"/>
        <w:gridCol w:w="1290"/>
        <w:gridCol w:w="1222"/>
        <w:gridCol w:w="908"/>
        <w:gridCol w:w="987"/>
        <w:gridCol w:w="1418"/>
      </w:tblGrid>
      <w:tr w:rsidR="00C44DD1" w:rsidRPr="00C44DD1" w:rsidTr="00C06D0D">
        <w:trPr>
          <w:cnfStyle w:val="100000000000"/>
        </w:trPr>
        <w:tc>
          <w:tcPr>
            <w:tcW w:w="1116" w:type="dxa"/>
          </w:tcPr>
          <w:p w:rsidR="00C44DD1" w:rsidRPr="00C44DD1" w:rsidRDefault="00C44DD1" w:rsidP="00C44DD1">
            <w:pPr>
              <w:spacing w:line="360" w:lineRule="auto"/>
              <w:rPr>
                <w:b/>
                <w:sz w:val="14"/>
                <w:szCs w:val="14"/>
                <w:lang w:val="es-ES" w:eastAsia="es-ES"/>
              </w:rPr>
            </w:pPr>
            <w:r w:rsidRPr="00C44DD1">
              <w:rPr>
                <w:b/>
                <w:sz w:val="14"/>
                <w:szCs w:val="14"/>
                <w:lang w:val="es-ES" w:eastAsia="es-ES"/>
              </w:rPr>
              <w:t>Autor</w:t>
            </w:r>
          </w:p>
        </w:tc>
        <w:tc>
          <w:tcPr>
            <w:tcW w:w="1260" w:type="dxa"/>
          </w:tcPr>
          <w:p w:rsidR="00C44DD1" w:rsidRPr="00C44DD1" w:rsidRDefault="00C44DD1" w:rsidP="00C44DD1">
            <w:pPr>
              <w:spacing w:line="360" w:lineRule="auto"/>
              <w:rPr>
                <w:b/>
                <w:sz w:val="14"/>
                <w:szCs w:val="14"/>
                <w:lang w:val="es-ES" w:eastAsia="es-ES"/>
              </w:rPr>
            </w:pPr>
            <w:r w:rsidRPr="00C44DD1">
              <w:rPr>
                <w:b/>
                <w:sz w:val="14"/>
                <w:szCs w:val="14"/>
                <w:lang w:val="es-ES" w:eastAsia="es-ES"/>
              </w:rPr>
              <w:t>SNA</w:t>
            </w:r>
          </w:p>
        </w:tc>
        <w:tc>
          <w:tcPr>
            <w:tcW w:w="1263" w:type="dxa"/>
          </w:tcPr>
          <w:p w:rsidR="00C44DD1" w:rsidRPr="00C44DD1" w:rsidRDefault="00C44DD1" w:rsidP="00C44DD1">
            <w:pPr>
              <w:spacing w:line="360" w:lineRule="auto"/>
              <w:rPr>
                <w:b/>
                <w:sz w:val="14"/>
                <w:szCs w:val="14"/>
                <w:lang w:val="es-ES" w:eastAsia="es-ES"/>
              </w:rPr>
            </w:pPr>
            <w:r w:rsidRPr="00C44DD1">
              <w:rPr>
                <w:b/>
                <w:sz w:val="14"/>
                <w:szCs w:val="14"/>
                <w:lang w:val="es-ES" w:eastAsia="es-ES"/>
              </w:rPr>
              <w:t>SNB</w:t>
            </w:r>
          </w:p>
        </w:tc>
        <w:tc>
          <w:tcPr>
            <w:tcW w:w="1290" w:type="dxa"/>
          </w:tcPr>
          <w:p w:rsidR="00C44DD1" w:rsidRPr="00C44DD1" w:rsidRDefault="00C44DD1" w:rsidP="00C44DD1">
            <w:pPr>
              <w:spacing w:line="360" w:lineRule="auto"/>
              <w:rPr>
                <w:b/>
                <w:sz w:val="14"/>
                <w:szCs w:val="14"/>
                <w:lang w:val="es-ES" w:eastAsia="es-ES"/>
              </w:rPr>
            </w:pPr>
            <w:r w:rsidRPr="00C44DD1">
              <w:rPr>
                <w:b/>
                <w:sz w:val="14"/>
                <w:szCs w:val="14"/>
                <w:lang w:val="es-ES" w:eastAsia="es-ES"/>
              </w:rPr>
              <w:t>ANB</w:t>
            </w:r>
          </w:p>
        </w:tc>
        <w:tc>
          <w:tcPr>
            <w:tcW w:w="1222" w:type="dxa"/>
          </w:tcPr>
          <w:p w:rsidR="00C44DD1" w:rsidRPr="00C44DD1" w:rsidRDefault="00C44DD1" w:rsidP="00C44DD1">
            <w:pPr>
              <w:spacing w:line="360" w:lineRule="auto"/>
              <w:rPr>
                <w:b/>
                <w:sz w:val="14"/>
                <w:szCs w:val="14"/>
                <w:lang w:val="es-ES" w:eastAsia="es-ES"/>
              </w:rPr>
            </w:pPr>
            <w:r w:rsidRPr="00C44DD1">
              <w:rPr>
                <w:b/>
                <w:sz w:val="14"/>
                <w:szCs w:val="14"/>
                <w:lang w:val="es-ES" w:eastAsia="es-ES"/>
              </w:rPr>
              <w:t>Edad Promedio</w:t>
            </w:r>
          </w:p>
        </w:tc>
        <w:tc>
          <w:tcPr>
            <w:tcW w:w="908" w:type="dxa"/>
          </w:tcPr>
          <w:p w:rsidR="00C44DD1" w:rsidRPr="00C44DD1" w:rsidRDefault="00C44DD1" w:rsidP="00C44DD1">
            <w:pPr>
              <w:spacing w:line="360" w:lineRule="auto"/>
              <w:rPr>
                <w:b/>
                <w:sz w:val="14"/>
                <w:szCs w:val="14"/>
                <w:lang w:val="es-ES" w:eastAsia="es-ES"/>
              </w:rPr>
            </w:pPr>
            <w:r w:rsidRPr="00C44DD1">
              <w:rPr>
                <w:b/>
                <w:sz w:val="14"/>
                <w:szCs w:val="14"/>
                <w:lang w:val="es-ES" w:eastAsia="es-ES"/>
              </w:rPr>
              <w:t xml:space="preserve">Aparato </w:t>
            </w:r>
            <w:proofErr w:type="spellStart"/>
            <w:r w:rsidRPr="00C44DD1">
              <w:rPr>
                <w:b/>
                <w:sz w:val="14"/>
                <w:szCs w:val="14"/>
                <w:lang w:val="es-ES" w:eastAsia="es-ES"/>
              </w:rPr>
              <w:t>Intraoral</w:t>
            </w:r>
            <w:proofErr w:type="spellEnd"/>
            <w:r w:rsidRPr="00C44DD1">
              <w:rPr>
                <w:b/>
                <w:sz w:val="14"/>
                <w:szCs w:val="14"/>
                <w:lang w:val="es-ES" w:eastAsia="es-ES"/>
              </w:rPr>
              <w:t xml:space="preserve"> </w:t>
            </w:r>
          </w:p>
        </w:tc>
        <w:tc>
          <w:tcPr>
            <w:tcW w:w="987" w:type="dxa"/>
          </w:tcPr>
          <w:p w:rsidR="00C44DD1" w:rsidRPr="00C44DD1" w:rsidRDefault="00C44DD1" w:rsidP="00C44DD1">
            <w:pPr>
              <w:spacing w:line="360" w:lineRule="auto"/>
              <w:rPr>
                <w:b/>
                <w:sz w:val="14"/>
                <w:szCs w:val="14"/>
                <w:lang w:val="es-ES" w:eastAsia="es-ES"/>
              </w:rPr>
            </w:pPr>
            <w:r w:rsidRPr="00C44DD1">
              <w:rPr>
                <w:b/>
                <w:sz w:val="14"/>
                <w:szCs w:val="14"/>
                <w:lang w:val="es-ES" w:eastAsia="es-ES"/>
              </w:rPr>
              <w:t>Fuerza de elásticos /dirección</w:t>
            </w:r>
          </w:p>
        </w:tc>
        <w:tc>
          <w:tcPr>
            <w:tcW w:w="1418" w:type="dxa"/>
          </w:tcPr>
          <w:p w:rsidR="00C44DD1" w:rsidRPr="00C44DD1" w:rsidRDefault="00C44DD1" w:rsidP="00C44DD1">
            <w:pPr>
              <w:spacing w:line="360" w:lineRule="auto"/>
              <w:rPr>
                <w:b/>
                <w:sz w:val="14"/>
                <w:szCs w:val="14"/>
                <w:lang w:val="es-ES" w:eastAsia="es-ES"/>
              </w:rPr>
            </w:pPr>
            <w:r w:rsidRPr="00C44DD1">
              <w:rPr>
                <w:b/>
                <w:sz w:val="14"/>
                <w:szCs w:val="14"/>
                <w:lang w:val="es-ES" w:eastAsia="es-ES"/>
              </w:rPr>
              <w:t xml:space="preserve">Tiempo de uso </w:t>
            </w:r>
          </w:p>
          <w:p w:rsidR="00C44DD1" w:rsidRPr="00C44DD1" w:rsidRDefault="00C44DD1" w:rsidP="00C44DD1">
            <w:pPr>
              <w:spacing w:line="360" w:lineRule="auto"/>
              <w:rPr>
                <w:b/>
                <w:sz w:val="14"/>
                <w:szCs w:val="14"/>
                <w:lang w:val="es-ES" w:eastAsia="es-ES"/>
              </w:rPr>
            </w:pPr>
          </w:p>
        </w:tc>
      </w:tr>
      <w:tr w:rsidR="00C44DD1" w:rsidRPr="00C44DD1" w:rsidTr="00C06D0D">
        <w:tc>
          <w:tcPr>
            <w:tcW w:w="1116" w:type="dxa"/>
          </w:tcPr>
          <w:p w:rsidR="00C44DD1" w:rsidRPr="00C44DD1" w:rsidRDefault="00C44DD1" w:rsidP="00C44DD1">
            <w:pPr>
              <w:jc w:val="center"/>
              <w:rPr>
                <w:sz w:val="14"/>
                <w:szCs w:val="14"/>
                <w:lang w:val="es-ES" w:eastAsia="es-ES"/>
              </w:rPr>
            </w:pP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Servert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Dogan-2012</w:t>
            </w:r>
            <w:r w:rsidRPr="00C44DD1">
              <w:rPr>
                <w:sz w:val="14"/>
                <w:szCs w:val="14"/>
                <w:vertAlign w:val="superscript"/>
                <w:lang w:val="es-ES" w:eastAsia="es-ES"/>
              </w:rPr>
              <w:t>33</w:t>
            </w:r>
          </w:p>
        </w:tc>
        <w:tc>
          <w:tcPr>
            <w:tcW w:w="1260" w:type="dxa"/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Aumento 4.78º </w:t>
            </w: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p≤0.001 (grupo UCLP)</w:t>
            </w:r>
          </w:p>
        </w:tc>
        <w:tc>
          <w:tcPr>
            <w:tcW w:w="1263" w:type="dxa"/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Se redujo 2.53º p≤0.037 No hubo diferencias significativas </w:t>
            </w:r>
          </w:p>
        </w:tc>
        <w:tc>
          <w:tcPr>
            <w:tcW w:w="1290" w:type="dxa"/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Aumento 6.25 p≤0.001 (grupo UCLP)</w:t>
            </w:r>
          </w:p>
        </w:tc>
        <w:tc>
          <w:tcPr>
            <w:tcW w:w="1222" w:type="dxa"/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Niñas: 8.69±1.64</w:t>
            </w: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Niños: 8.7±2.64</w:t>
            </w:r>
          </w:p>
        </w:tc>
        <w:tc>
          <w:tcPr>
            <w:tcW w:w="908" w:type="dxa"/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Placa acrílico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oclusal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con tornillo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Hirax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(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Mcnamara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>)</w:t>
            </w:r>
          </w:p>
        </w:tc>
        <w:tc>
          <w:tcPr>
            <w:tcW w:w="987" w:type="dxa"/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800g a cada lado </w:t>
            </w:r>
          </w:p>
        </w:tc>
        <w:tc>
          <w:tcPr>
            <w:tcW w:w="1418" w:type="dxa"/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7 meses y 5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dias</w:t>
            </w:r>
            <w:proofErr w:type="spellEnd"/>
          </w:p>
        </w:tc>
      </w:tr>
      <w:tr w:rsidR="00C44DD1" w:rsidRPr="00C44DD1" w:rsidTr="00C06D0D">
        <w:tc>
          <w:tcPr>
            <w:tcW w:w="1116" w:type="dxa"/>
          </w:tcPr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Gustavo Da Luz Vieira y col 2009</w:t>
            </w:r>
            <w:r w:rsidRPr="00C44DD1">
              <w:rPr>
                <w:sz w:val="14"/>
                <w:szCs w:val="14"/>
                <w:vertAlign w:val="superscript"/>
                <w:lang w:val="es-ES" w:eastAsia="es-ES"/>
              </w:rPr>
              <w:t>27</w:t>
            </w:r>
            <w:r w:rsidRPr="00C44DD1">
              <w:rPr>
                <w:sz w:val="14"/>
                <w:szCs w:val="14"/>
                <w:lang w:val="es-ES" w:eastAsia="es-ES"/>
              </w:rPr>
              <w:t xml:space="preserve">  </w:t>
            </w:r>
          </w:p>
        </w:tc>
        <w:tc>
          <w:tcPr>
            <w:tcW w:w="1260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Aumento 2.33º (grupo expansión) P&lt;0.0001</w:t>
            </w:r>
          </w:p>
        </w:tc>
        <w:tc>
          <w:tcPr>
            <w:tcW w:w="1263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No hubo cambios en ambos grupos </w:t>
            </w:r>
          </w:p>
        </w:tc>
        <w:tc>
          <w:tcPr>
            <w:tcW w:w="1290" w:type="dxa"/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2.16º (Grupo expansión y constricción) </w:t>
            </w: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P.9148</w:t>
            </w:r>
          </w:p>
        </w:tc>
        <w:tc>
          <w:tcPr>
            <w:tcW w:w="1222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10.4 años </w:t>
            </w:r>
          </w:p>
        </w:tc>
        <w:tc>
          <w:tcPr>
            <w:tcW w:w="908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Tornillo de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Hass</w:t>
            </w:r>
            <w:proofErr w:type="spellEnd"/>
          </w:p>
        </w:tc>
        <w:tc>
          <w:tcPr>
            <w:tcW w:w="987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500g a cada lado/30º del plano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oclusal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</w:p>
        </w:tc>
        <w:tc>
          <w:tcPr>
            <w:tcW w:w="1418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6meses </w:t>
            </w:r>
          </w:p>
        </w:tc>
      </w:tr>
      <w:tr w:rsidR="00C44DD1" w:rsidRPr="00C44DD1" w:rsidTr="00C06D0D">
        <w:tc>
          <w:tcPr>
            <w:tcW w:w="1116" w:type="dxa"/>
          </w:tcPr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lang w:val="es-ES" w:eastAsia="es-ES"/>
              </w:rPr>
            </w:pP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Haichao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Jiaa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2008</w:t>
            </w:r>
            <w:r w:rsidRPr="00C44DD1">
              <w:rPr>
                <w:sz w:val="14"/>
                <w:szCs w:val="14"/>
                <w:vertAlign w:val="superscript"/>
                <w:lang w:val="es-ES" w:eastAsia="es-ES"/>
              </w:rPr>
              <w:t>19</w:t>
            </w:r>
          </w:p>
        </w:tc>
        <w:tc>
          <w:tcPr>
            <w:tcW w:w="1260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Aumento 1.50º (Grupo UCLP) P&lt;0.001</w:t>
            </w:r>
          </w:p>
        </w:tc>
        <w:tc>
          <w:tcPr>
            <w:tcW w:w="1263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Disminuyo -2.31º (grupo UCLP) P&lt;0.001</w:t>
            </w:r>
          </w:p>
        </w:tc>
        <w:tc>
          <w:tcPr>
            <w:tcW w:w="1290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3.82º  (Grupo UCLP)P&lt;0.001</w:t>
            </w:r>
          </w:p>
        </w:tc>
        <w:tc>
          <w:tcPr>
            <w:tcW w:w="1222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9.54años </w:t>
            </w:r>
          </w:p>
        </w:tc>
        <w:tc>
          <w:tcPr>
            <w:tcW w:w="908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Hirax</w:t>
            </w:r>
            <w:proofErr w:type="spellEnd"/>
          </w:p>
        </w:tc>
        <w:tc>
          <w:tcPr>
            <w:tcW w:w="987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450g-500g/ 10º del plano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oclusal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</w:p>
        </w:tc>
        <w:tc>
          <w:tcPr>
            <w:tcW w:w="1418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12h por 9.2 meses </w:t>
            </w:r>
          </w:p>
        </w:tc>
      </w:tr>
      <w:tr w:rsidR="00C44DD1" w:rsidRPr="00C44DD1" w:rsidTr="00C06D0D">
        <w:tc>
          <w:tcPr>
            <w:tcW w:w="1116" w:type="dxa"/>
          </w:tcPr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Ahmed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abdel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Fattah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2008</w:t>
            </w:r>
            <w:r w:rsidRPr="00C44DD1">
              <w:rPr>
                <w:sz w:val="14"/>
                <w:szCs w:val="14"/>
                <w:vertAlign w:val="superscript"/>
                <w:lang w:val="es-ES" w:eastAsia="es-ES"/>
              </w:rPr>
              <w:t xml:space="preserve">29 </w:t>
            </w:r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</w:p>
        </w:tc>
        <w:tc>
          <w:tcPr>
            <w:tcW w:w="1260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Aumento 5.9º (Grupo UCLP)P&lt;0.01</w:t>
            </w:r>
          </w:p>
        </w:tc>
        <w:tc>
          <w:tcPr>
            <w:tcW w:w="1263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No hubo cambios en ambos grupos UCLP y control </w:t>
            </w:r>
          </w:p>
        </w:tc>
        <w:tc>
          <w:tcPr>
            <w:tcW w:w="1290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3º (Grupo control)P&lt;0.01</w:t>
            </w:r>
          </w:p>
        </w:tc>
        <w:tc>
          <w:tcPr>
            <w:tcW w:w="1222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5-8años </w:t>
            </w:r>
          </w:p>
        </w:tc>
        <w:tc>
          <w:tcPr>
            <w:tcW w:w="908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Arco Palatino </w:t>
            </w:r>
          </w:p>
        </w:tc>
        <w:tc>
          <w:tcPr>
            <w:tcW w:w="987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250g-300g a cada lado</w:t>
            </w:r>
          </w:p>
        </w:tc>
        <w:tc>
          <w:tcPr>
            <w:tcW w:w="1418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16h por día por 12 meses </w:t>
            </w:r>
          </w:p>
        </w:tc>
      </w:tr>
      <w:tr w:rsidR="00C44DD1" w:rsidRPr="00C44DD1" w:rsidTr="00C06D0D">
        <w:tc>
          <w:tcPr>
            <w:tcW w:w="1116" w:type="dxa"/>
          </w:tcPr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lang w:val="es-ES" w:eastAsia="es-ES"/>
              </w:rPr>
            </w:pP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Rolf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Tinlud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1994</w:t>
            </w:r>
            <w:r w:rsidRPr="00C44DD1">
              <w:rPr>
                <w:sz w:val="14"/>
                <w:szCs w:val="14"/>
                <w:vertAlign w:val="superscript"/>
                <w:lang w:val="es-ES" w:eastAsia="es-ES"/>
              </w:rPr>
              <w:t>26</w:t>
            </w:r>
          </w:p>
        </w:tc>
        <w:tc>
          <w:tcPr>
            <w:tcW w:w="1260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Aumento 2.1º (Grupo B) P&lt;0.001</w:t>
            </w:r>
          </w:p>
        </w:tc>
        <w:tc>
          <w:tcPr>
            <w:tcW w:w="1263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-1.6º (Grupo B)</w:t>
            </w: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No hubo diferencias significativas</w:t>
            </w:r>
          </w:p>
        </w:tc>
        <w:tc>
          <w:tcPr>
            <w:tcW w:w="1290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Aumento 3.7º</w:t>
            </w: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P&lt;0.001</w:t>
            </w:r>
          </w:p>
        </w:tc>
        <w:tc>
          <w:tcPr>
            <w:tcW w:w="1222" w:type="dxa"/>
          </w:tcPr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4.5-9.2años</w:t>
            </w:r>
          </w:p>
        </w:tc>
        <w:tc>
          <w:tcPr>
            <w:tcW w:w="908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Quad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hélix</w:t>
            </w:r>
          </w:p>
        </w:tc>
        <w:tc>
          <w:tcPr>
            <w:tcW w:w="987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350g a cada lado/15º abajo del plano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oclusal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</w:p>
        </w:tc>
        <w:tc>
          <w:tcPr>
            <w:tcW w:w="1418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11h por 14meses</w:t>
            </w:r>
          </w:p>
        </w:tc>
      </w:tr>
      <w:tr w:rsidR="00C44DD1" w:rsidRPr="00C44DD1" w:rsidTr="00C06D0D">
        <w:tc>
          <w:tcPr>
            <w:tcW w:w="1116" w:type="dxa"/>
          </w:tcPr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lang w:val="es-ES" w:eastAsia="es-ES"/>
              </w:rPr>
            </w:pP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Rolf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Tinlud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1993</w:t>
            </w:r>
            <w:r w:rsidRPr="00C44DD1">
              <w:rPr>
                <w:sz w:val="14"/>
                <w:szCs w:val="14"/>
                <w:vertAlign w:val="superscript"/>
                <w:lang w:val="es-ES" w:eastAsia="es-ES"/>
              </w:rPr>
              <w:t>20</w:t>
            </w:r>
          </w:p>
        </w:tc>
        <w:tc>
          <w:tcPr>
            <w:tcW w:w="1260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Aumento 0.8º (Grupo CLP) P&lt;0.001</w:t>
            </w:r>
          </w:p>
        </w:tc>
        <w:tc>
          <w:tcPr>
            <w:tcW w:w="1263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Disminuyo 1.5º (Grupo CLP) P&lt;0.001</w:t>
            </w:r>
          </w:p>
        </w:tc>
        <w:tc>
          <w:tcPr>
            <w:tcW w:w="1290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2.3º (Grupo CLP) No hubo diferencias significativas</w:t>
            </w:r>
          </w:p>
        </w:tc>
        <w:tc>
          <w:tcPr>
            <w:tcW w:w="1222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6años, 11 meses </w:t>
            </w:r>
          </w:p>
        </w:tc>
        <w:tc>
          <w:tcPr>
            <w:tcW w:w="908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Quad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hélix</w:t>
            </w:r>
          </w:p>
        </w:tc>
        <w:tc>
          <w:tcPr>
            <w:tcW w:w="987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350g a cada lado/15º con relación al plano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oclusal</w:t>
            </w:r>
            <w:proofErr w:type="spellEnd"/>
          </w:p>
        </w:tc>
        <w:tc>
          <w:tcPr>
            <w:tcW w:w="1418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11h por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dia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por 13meses </w:t>
            </w:r>
          </w:p>
        </w:tc>
      </w:tr>
      <w:tr w:rsidR="00C44DD1" w:rsidRPr="00C44DD1" w:rsidTr="00C06D0D">
        <w:trPr>
          <w:trHeight w:val="56"/>
        </w:trPr>
        <w:tc>
          <w:tcPr>
            <w:tcW w:w="1116" w:type="dxa"/>
          </w:tcPr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lang w:val="es-ES" w:eastAsia="es-ES"/>
              </w:rPr>
            </w:pP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Rolf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Tinlud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1993</w:t>
            </w:r>
            <w:r w:rsidRPr="00C44DD1">
              <w:rPr>
                <w:sz w:val="14"/>
                <w:szCs w:val="14"/>
                <w:vertAlign w:val="superscript"/>
                <w:lang w:val="es-ES" w:eastAsia="es-ES"/>
              </w:rPr>
              <w:t>17</w:t>
            </w:r>
          </w:p>
        </w:tc>
        <w:tc>
          <w:tcPr>
            <w:tcW w:w="1260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Aumento 1.1º(grupo BCLP) P&lt;0.05</w:t>
            </w:r>
          </w:p>
        </w:tc>
        <w:tc>
          <w:tcPr>
            <w:tcW w:w="1263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Disminuyo 1.5º en ambos grupos P&lt;0.001 </w:t>
            </w:r>
          </w:p>
        </w:tc>
        <w:tc>
          <w:tcPr>
            <w:tcW w:w="1290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Aumento 2.4º (Grupo UCLP) P&lt;0.001</w:t>
            </w:r>
          </w:p>
        </w:tc>
        <w:tc>
          <w:tcPr>
            <w:tcW w:w="1222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6años, 11meses </w:t>
            </w:r>
          </w:p>
        </w:tc>
        <w:tc>
          <w:tcPr>
            <w:tcW w:w="908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Quad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Helix</w:t>
            </w:r>
            <w:proofErr w:type="spellEnd"/>
          </w:p>
        </w:tc>
        <w:tc>
          <w:tcPr>
            <w:tcW w:w="987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350gcada lado/ 15º del plano 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oclusal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</w:p>
        </w:tc>
        <w:tc>
          <w:tcPr>
            <w:tcW w:w="1418" w:type="dxa"/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11h por 12meses (UCLP) y 15meses (BCLP)</w:t>
            </w:r>
          </w:p>
        </w:tc>
      </w:tr>
    </w:tbl>
    <w:p w:rsidR="00C44DD1" w:rsidRPr="00C44DD1" w:rsidRDefault="00C44DD1" w:rsidP="00C44DD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es-ES" w:eastAsia="es-ES"/>
        </w:rPr>
      </w:pPr>
    </w:p>
    <w:p w:rsidR="00C44DD1" w:rsidRPr="00C44DD1" w:rsidRDefault="00C44DD1" w:rsidP="00C44DD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es-ES" w:eastAsia="es-ES"/>
        </w:rPr>
      </w:pPr>
    </w:p>
    <w:p w:rsidR="00C44DD1" w:rsidRPr="00C44DD1" w:rsidRDefault="00C44DD1" w:rsidP="00C44DD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es-ES" w:eastAsia="es-ES"/>
        </w:rPr>
      </w:pPr>
    </w:p>
    <w:p w:rsidR="00C44DD1" w:rsidRPr="00C44DD1" w:rsidRDefault="00C44DD1" w:rsidP="00C44DD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es-ES" w:eastAsia="es-ES"/>
        </w:rPr>
      </w:pPr>
    </w:p>
    <w:p w:rsidR="00C44DD1" w:rsidRPr="00C44DD1" w:rsidRDefault="00C44DD1" w:rsidP="00C44DD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es-ES" w:eastAsia="es-ES"/>
        </w:rPr>
      </w:pPr>
    </w:p>
    <w:p w:rsidR="00C44DD1" w:rsidRPr="00C44DD1" w:rsidRDefault="00C44DD1" w:rsidP="00C44DD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es-ES" w:eastAsia="es-ES"/>
        </w:rPr>
      </w:pPr>
    </w:p>
    <w:p w:rsidR="00C44DD1" w:rsidRPr="00C44DD1" w:rsidRDefault="00C44DD1" w:rsidP="00C44DD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es-ES" w:eastAsia="es-ES"/>
        </w:rPr>
      </w:pPr>
    </w:p>
    <w:p w:rsidR="00C44DD1" w:rsidRPr="00C44DD1" w:rsidRDefault="00C44DD1" w:rsidP="00C44DD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es-ES" w:eastAsia="es-ES"/>
        </w:rPr>
      </w:pPr>
    </w:p>
    <w:p w:rsidR="00C44DD1" w:rsidRPr="00C44DD1" w:rsidRDefault="00C44DD1" w:rsidP="00C44DD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es-ES" w:eastAsia="es-ES"/>
        </w:rPr>
      </w:pPr>
    </w:p>
    <w:p w:rsidR="00C44DD1" w:rsidRPr="00C44DD1" w:rsidRDefault="00C44DD1" w:rsidP="00C44DD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es-ES" w:eastAsia="es-ES"/>
        </w:rPr>
      </w:pPr>
    </w:p>
    <w:p w:rsidR="00C44DD1" w:rsidRPr="00C44DD1" w:rsidRDefault="00C44DD1" w:rsidP="00C44DD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es-ES" w:eastAsia="es-ES"/>
        </w:rPr>
      </w:pPr>
    </w:p>
    <w:p w:rsidR="00C44DD1" w:rsidRPr="00C44DD1" w:rsidRDefault="00C44DD1" w:rsidP="00C44DD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es-ES" w:eastAsia="es-ES"/>
        </w:rPr>
      </w:pPr>
    </w:p>
    <w:p w:rsidR="00C44DD1" w:rsidRPr="00C44DD1" w:rsidRDefault="00C44DD1" w:rsidP="00C44DD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es-ES" w:eastAsia="es-ES"/>
        </w:rPr>
      </w:pPr>
    </w:p>
    <w:p w:rsidR="00C44DD1" w:rsidRPr="00C44DD1" w:rsidRDefault="00C44DD1" w:rsidP="00C44DD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es-ES" w:eastAsia="es-ES"/>
        </w:rPr>
      </w:pPr>
    </w:p>
    <w:p w:rsidR="00C44DD1" w:rsidRPr="00C44DD1" w:rsidRDefault="00C44DD1" w:rsidP="00C44DD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es-ES" w:eastAsia="es-ES"/>
        </w:rPr>
      </w:pPr>
    </w:p>
    <w:p w:rsidR="00C44DD1" w:rsidRPr="00C44DD1" w:rsidRDefault="00C44DD1" w:rsidP="00C44DD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es-ES" w:eastAsia="es-ES"/>
        </w:rPr>
      </w:pPr>
    </w:p>
    <w:p w:rsidR="00C44DD1" w:rsidRPr="00C44DD1" w:rsidRDefault="00C44DD1" w:rsidP="00C44DD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es-ES" w:eastAsia="es-ES"/>
        </w:rPr>
      </w:pPr>
    </w:p>
    <w:p w:rsidR="00C44DD1" w:rsidRPr="00C44DD1" w:rsidRDefault="00C44DD1" w:rsidP="00C44DD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es-ES" w:eastAsia="es-ES"/>
        </w:rPr>
      </w:pPr>
    </w:p>
    <w:p w:rsidR="00C44DD1" w:rsidRPr="00C44DD1" w:rsidRDefault="00C44DD1" w:rsidP="00C44DD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es-ES" w:eastAsia="es-ES"/>
        </w:rPr>
      </w:pPr>
    </w:p>
    <w:p w:rsidR="00C44DD1" w:rsidRPr="00C44DD1" w:rsidRDefault="00C44DD1" w:rsidP="00C44DD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es-ES" w:eastAsia="es-ES"/>
        </w:rPr>
      </w:pPr>
    </w:p>
    <w:p w:rsidR="00C44DD1" w:rsidRPr="00C44DD1" w:rsidRDefault="00C44DD1" w:rsidP="00C44DD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es-ES" w:eastAsia="es-ES"/>
        </w:rPr>
      </w:pPr>
    </w:p>
    <w:p w:rsidR="00C44DD1" w:rsidRPr="00C44DD1" w:rsidRDefault="00C44DD1" w:rsidP="00C44DD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es-ES" w:eastAsia="es-ES"/>
        </w:rPr>
      </w:pPr>
    </w:p>
    <w:p w:rsidR="00C44DD1" w:rsidRPr="00C44DD1" w:rsidRDefault="00C44DD1" w:rsidP="00C44DD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es-ES" w:eastAsia="es-ES"/>
        </w:rPr>
      </w:pPr>
    </w:p>
    <w:p w:rsidR="00C44DD1" w:rsidRPr="00C44DD1" w:rsidRDefault="00C44DD1" w:rsidP="00C44DD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es-ES" w:eastAsia="es-ES"/>
        </w:rPr>
      </w:pPr>
    </w:p>
    <w:p w:rsidR="00C44DD1" w:rsidRPr="00C44DD1" w:rsidRDefault="00C44DD1" w:rsidP="00C44DD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es-ES" w:eastAsia="es-ES"/>
        </w:rPr>
      </w:pPr>
    </w:p>
    <w:p w:rsidR="00C44DD1" w:rsidRPr="00C44DD1" w:rsidRDefault="00C44DD1" w:rsidP="00C44DD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es-ES" w:eastAsia="es-ES"/>
        </w:rPr>
      </w:pPr>
    </w:p>
    <w:p w:rsidR="00C44DD1" w:rsidRPr="00C44DD1" w:rsidRDefault="00C44DD1" w:rsidP="00C44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C44DD1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lastRenderedPageBreak/>
        <w:t>Tabla 3: Comparación del pre y el post tratamiento a nivel dental entre los diferentes autores</w:t>
      </w:r>
    </w:p>
    <w:p w:rsidR="00C44DD1" w:rsidRPr="00C44DD1" w:rsidRDefault="00C44DD1" w:rsidP="00C44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tbl>
      <w:tblPr>
        <w:tblStyle w:val="Tablabsica1"/>
        <w:tblW w:w="5000" w:type="pct"/>
        <w:tblLook w:val="04A0"/>
      </w:tblPr>
      <w:tblGrid>
        <w:gridCol w:w="785"/>
        <w:gridCol w:w="1131"/>
        <w:gridCol w:w="1131"/>
        <w:gridCol w:w="1061"/>
        <w:gridCol w:w="1131"/>
        <w:gridCol w:w="1131"/>
        <w:gridCol w:w="800"/>
        <w:gridCol w:w="769"/>
        <w:gridCol w:w="807"/>
        <w:gridCol w:w="830"/>
      </w:tblGrid>
      <w:tr w:rsidR="00C44DD1" w:rsidRPr="00C44DD1" w:rsidTr="00C06D0D">
        <w:trPr>
          <w:cnfStyle w:val="100000000000"/>
        </w:trPr>
        <w:tc>
          <w:tcPr>
            <w:tcW w:w="512" w:type="pct"/>
          </w:tcPr>
          <w:p w:rsidR="00C44DD1" w:rsidRPr="00C44DD1" w:rsidRDefault="00C44DD1" w:rsidP="00C44DD1">
            <w:pPr>
              <w:spacing w:line="360" w:lineRule="auto"/>
              <w:rPr>
                <w:b/>
                <w:sz w:val="14"/>
                <w:szCs w:val="14"/>
                <w:lang w:val="es-ES" w:eastAsia="es-ES"/>
              </w:rPr>
            </w:pPr>
            <w:r w:rsidRPr="00C44DD1">
              <w:rPr>
                <w:b/>
                <w:sz w:val="14"/>
                <w:szCs w:val="14"/>
                <w:lang w:val="es-ES" w:eastAsia="es-ES"/>
              </w:rPr>
              <w:t>Autor</w:t>
            </w:r>
          </w:p>
        </w:tc>
        <w:tc>
          <w:tcPr>
            <w:tcW w:w="472" w:type="pct"/>
          </w:tcPr>
          <w:p w:rsidR="00C44DD1" w:rsidRPr="00C44DD1" w:rsidRDefault="00C44DD1" w:rsidP="00C44DD1">
            <w:pPr>
              <w:spacing w:line="360" w:lineRule="auto"/>
              <w:rPr>
                <w:b/>
                <w:sz w:val="14"/>
                <w:szCs w:val="14"/>
                <w:lang w:val="es-ES" w:eastAsia="es-ES"/>
              </w:rPr>
            </w:pPr>
            <w:r w:rsidRPr="00C44DD1">
              <w:rPr>
                <w:b/>
                <w:sz w:val="14"/>
                <w:szCs w:val="14"/>
                <w:lang w:val="es-ES" w:eastAsia="es-ES"/>
              </w:rPr>
              <w:t>1sup/NA</w:t>
            </w:r>
          </w:p>
          <w:p w:rsidR="00C44DD1" w:rsidRPr="00C44DD1" w:rsidRDefault="00C44DD1" w:rsidP="00C44DD1">
            <w:pPr>
              <w:spacing w:line="360" w:lineRule="auto"/>
              <w:rPr>
                <w:b/>
                <w:sz w:val="14"/>
                <w:szCs w:val="14"/>
                <w:lang w:val="es-ES" w:eastAsia="es-ES"/>
              </w:rPr>
            </w:pPr>
            <w:r w:rsidRPr="00C44DD1">
              <w:rPr>
                <w:b/>
                <w:sz w:val="14"/>
                <w:szCs w:val="14"/>
                <w:lang w:val="es-ES" w:eastAsia="es-ES"/>
              </w:rPr>
              <w:t>(º)</w:t>
            </w:r>
          </w:p>
        </w:tc>
        <w:tc>
          <w:tcPr>
            <w:tcW w:w="472" w:type="pct"/>
          </w:tcPr>
          <w:p w:rsidR="00C44DD1" w:rsidRPr="00C44DD1" w:rsidRDefault="00C44DD1" w:rsidP="00C44DD1">
            <w:pPr>
              <w:spacing w:line="360" w:lineRule="auto"/>
              <w:rPr>
                <w:b/>
                <w:sz w:val="14"/>
                <w:szCs w:val="14"/>
                <w:lang w:val="es-ES" w:eastAsia="es-ES"/>
              </w:rPr>
            </w:pPr>
            <w:r w:rsidRPr="00C44DD1">
              <w:rPr>
                <w:b/>
                <w:sz w:val="14"/>
                <w:szCs w:val="14"/>
                <w:lang w:val="es-ES" w:eastAsia="es-ES"/>
              </w:rPr>
              <w:t>1sup/NA</w:t>
            </w:r>
          </w:p>
          <w:p w:rsidR="00C44DD1" w:rsidRPr="00C44DD1" w:rsidRDefault="00C44DD1" w:rsidP="00C44DD1">
            <w:pPr>
              <w:spacing w:line="360" w:lineRule="auto"/>
              <w:rPr>
                <w:b/>
                <w:sz w:val="14"/>
                <w:szCs w:val="14"/>
                <w:lang w:val="es-ES" w:eastAsia="es-ES"/>
              </w:rPr>
            </w:pPr>
            <w:r w:rsidRPr="00C44DD1">
              <w:rPr>
                <w:b/>
                <w:sz w:val="14"/>
                <w:szCs w:val="14"/>
                <w:lang w:val="es-ES" w:eastAsia="es-ES"/>
              </w:rPr>
              <w:t>(mm)</w:t>
            </w:r>
          </w:p>
        </w:tc>
        <w:tc>
          <w:tcPr>
            <w:tcW w:w="489" w:type="pct"/>
          </w:tcPr>
          <w:p w:rsidR="00C44DD1" w:rsidRPr="00C44DD1" w:rsidRDefault="00C44DD1" w:rsidP="00C44DD1">
            <w:pPr>
              <w:spacing w:line="360" w:lineRule="auto"/>
              <w:rPr>
                <w:b/>
                <w:sz w:val="14"/>
                <w:szCs w:val="14"/>
                <w:lang w:val="es-ES" w:eastAsia="es-ES"/>
              </w:rPr>
            </w:pPr>
            <w:r w:rsidRPr="00C44DD1">
              <w:rPr>
                <w:b/>
                <w:sz w:val="14"/>
                <w:szCs w:val="14"/>
                <w:lang w:val="es-ES" w:eastAsia="es-ES"/>
              </w:rPr>
              <w:t>1sup/1inf</w:t>
            </w:r>
          </w:p>
        </w:tc>
        <w:tc>
          <w:tcPr>
            <w:tcW w:w="508" w:type="pct"/>
          </w:tcPr>
          <w:p w:rsidR="00C44DD1" w:rsidRPr="00C44DD1" w:rsidRDefault="00C44DD1" w:rsidP="00C44DD1">
            <w:pPr>
              <w:spacing w:line="360" w:lineRule="auto"/>
              <w:rPr>
                <w:b/>
                <w:sz w:val="14"/>
                <w:szCs w:val="14"/>
                <w:lang w:val="es-ES" w:eastAsia="es-ES"/>
              </w:rPr>
            </w:pPr>
            <w:r w:rsidRPr="00C44DD1">
              <w:rPr>
                <w:b/>
                <w:sz w:val="14"/>
                <w:szCs w:val="14"/>
                <w:lang w:val="es-ES" w:eastAsia="es-ES"/>
              </w:rPr>
              <w:t>1inf/NB</w:t>
            </w:r>
          </w:p>
          <w:p w:rsidR="00C44DD1" w:rsidRPr="00C44DD1" w:rsidRDefault="00C44DD1" w:rsidP="00C44DD1">
            <w:pPr>
              <w:spacing w:line="360" w:lineRule="auto"/>
              <w:rPr>
                <w:b/>
                <w:sz w:val="14"/>
                <w:szCs w:val="14"/>
                <w:lang w:val="es-ES" w:eastAsia="es-ES"/>
              </w:rPr>
            </w:pPr>
            <w:r w:rsidRPr="00C44DD1">
              <w:rPr>
                <w:b/>
                <w:sz w:val="14"/>
                <w:szCs w:val="14"/>
                <w:lang w:val="es-ES" w:eastAsia="es-ES"/>
              </w:rPr>
              <w:t>(º)</w:t>
            </w:r>
          </w:p>
        </w:tc>
        <w:tc>
          <w:tcPr>
            <w:tcW w:w="463" w:type="pct"/>
          </w:tcPr>
          <w:p w:rsidR="00C44DD1" w:rsidRPr="00C44DD1" w:rsidRDefault="00C44DD1" w:rsidP="00C44DD1">
            <w:pPr>
              <w:spacing w:line="360" w:lineRule="auto"/>
              <w:rPr>
                <w:b/>
                <w:sz w:val="14"/>
                <w:szCs w:val="14"/>
                <w:lang w:val="es-ES" w:eastAsia="es-ES"/>
              </w:rPr>
            </w:pPr>
            <w:r w:rsidRPr="00C44DD1">
              <w:rPr>
                <w:b/>
                <w:sz w:val="14"/>
                <w:szCs w:val="14"/>
                <w:lang w:val="es-ES" w:eastAsia="es-ES"/>
              </w:rPr>
              <w:t>1inf/NB</w:t>
            </w:r>
          </w:p>
          <w:p w:rsidR="00C44DD1" w:rsidRPr="00C44DD1" w:rsidRDefault="00C44DD1" w:rsidP="00C44DD1">
            <w:pPr>
              <w:spacing w:line="360" w:lineRule="auto"/>
              <w:rPr>
                <w:b/>
                <w:sz w:val="14"/>
                <w:szCs w:val="14"/>
                <w:lang w:val="es-ES" w:eastAsia="es-ES"/>
              </w:rPr>
            </w:pPr>
            <w:r w:rsidRPr="00C44DD1">
              <w:rPr>
                <w:b/>
                <w:sz w:val="14"/>
                <w:szCs w:val="14"/>
                <w:lang w:val="es-ES" w:eastAsia="es-ES"/>
              </w:rPr>
              <w:t>(mm)</w:t>
            </w:r>
          </w:p>
        </w:tc>
        <w:tc>
          <w:tcPr>
            <w:tcW w:w="464" w:type="pct"/>
          </w:tcPr>
          <w:p w:rsidR="00C44DD1" w:rsidRPr="00C44DD1" w:rsidRDefault="00C44DD1" w:rsidP="00C44DD1">
            <w:pPr>
              <w:spacing w:line="360" w:lineRule="auto"/>
              <w:rPr>
                <w:b/>
                <w:sz w:val="14"/>
                <w:szCs w:val="14"/>
                <w:lang w:val="es-ES" w:eastAsia="es-ES"/>
              </w:rPr>
            </w:pPr>
            <w:r w:rsidRPr="00C44DD1">
              <w:rPr>
                <w:b/>
                <w:sz w:val="14"/>
                <w:szCs w:val="14"/>
                <w:lang w:val="es-ES" w:eastAsia="es-ES"/>
              </w:rPr>
              <w:t>Edad Promedio</w:t>
            </w:r>
          </w:p>
        </w:tc>
        <w:tc>
          <w:tcPr>
            <w:tcW w:w="466" w:type="pct"/>
          </w:tcPr>
          <w:p w:rsidR="00C44DD1" w:rsidRPr="00C44DD1" w:rsidRDefault="00C44DD1" w:rsidP="00C44DD1">
            <w:pPr>
              <w:spacing w:line="360" w:lineRule="auto"/>
              <w:rPr>
                <w:b/>
                <w:sz w:val="14"/>
                <w:szCs w:val="14"/>
                <w:lang w:val="es-ES" w:eastAsia="es-ES"/>
              </w:rPr>
            </w:pPr>
            <w:r w:rsidRPr="00C44DD1">
              <w:rPr>
                <w:b/>
                <w:sz w:val="14"/>
                <w:szCs w:val="14"/>
                <w:lang w:val="es-ES" w:eastAsia="es-ES"/>
              </w:rPr>
              <w:t xml:space="preserve">Aparato </w:t>
            </w:r>
            <w:proofErr w:type="spellStart"/>
            <w:r w:rsidRPr="00C44DD1">
              <w:rPr>
                <w:b/>
                <w:sz w:val="14"/>
                <w:szCs w:val="14"/>
                <w:lang w:val="es-ES" w:eastAsia="es-ES"/>
              </w:rPr>
              <w:t>Intraoral</w:t>
            </w:r>
            <w:proofErr w:type="spellEnd"/>
            <w:r w:rsidRPr="00C44DD1">
              <w:rPr>
                <w:b/>
                <w:sz w:val="14"/>
                <w:szCs w:val="14"/>
                <w:lang w:val="es-ES" w:eastAsia="es-ES"/>
              </w:rPr>
              <w:t xml:space="preserve"> </w:t>
            </w:r>
          </w:p>
        </w:tc>
        <w:tc>
          <w:tcPr>
            <w:tcW w:w="591" w:type="pct"/>
          </w:tcPr>
          <w:p w:rsidR="00C44DD1" w:rsidRPr="00C44DD1" w:rsidRDefault="00C44DD1" w:rsidP="00C44DD1">
            <w:pPr>
              <w:spacing w:line="360" w:lineRule="auto"/>
              <w:rPr>
                <w:b/>
                <w:sz w:val="14"/>
                <w:szCs w:val="14"/>
                <w:lang w:val="es-ES" w:eastAsia="es-ES"/>
              </w:rPr>
            </w:pPr>
            <w:r w:rsidRPr="00C44DD1">
              <w:rPr>
                <w:b/>
                <w:sz w:val="14"/>
                <w:szCs w:val="14"/>
                <w:lang w:val="es-ES" w:eastAsia="es-ES"/>
              </w:rPr>
              <w:t>Fuerza de elásticos /dirección</w:t>
            </w:r>
          </w:p>
        </w:tc>
        <w:tc>
          <w:tcPr>
            <w:tcW w:w="562" w:type="pct"/>
          </w:tcPr>
          <w:p w:rsidR="00C44DD1" w:rsidRPr="00C44DD1" w:rsidRDefault="00C44DD1" w:rsidP="00C44DD1">
            <w:pPr>
              <w:spacing w:line="360" w:lineRule="auto"/>
              <w:rPr>
                <w:b/>
                <w:sz w:val="14"/>
                <w:szCs w:val="14"/>
                <w:lang w:val="es-ES" w:eastAsia="es-ES"/>
              </w:rPr>
            </w:pPr>
            <w:r w:rsidRPr="00C44DD1">
              <w:rPr>
                <w:b/>
                <w:sz w:val="14"/>
                <w:szCs w:val="14"/>
                <w:lang w:val="es-ES" w:eastAsia="es-ES"/>
              </w:rPr>
              <w:t xml:space="preserve">Tiempo de uso </w:t>
            </w:r>
          </w:p>
        </w:tc>
      </w:tr>
      <w:tr w:rsidR="00C44DD1" w:rsidRPr="00C44DD1" w:rsidTr="00C06D0D">
        <w:tc>
          <w:tcPr>
            <w:tcW w:w="512" w:type="pct"/>
          </w:tcPr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vertAlign w:val="superscript"/>
                <w:lang w:val="es-ES" w:eastAsia="es-ES"/>
              </w:rPr>
            </w:pP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Haichao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Jiaa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2008</w:t>
            </w:r>
            <w:r w:rsidRPr="00C44DD1">
              <w:rPr>
                <w:sz w:val="14"/>
                <w:szCs w:val="14"/>
                <w:vertAlign w:val="superscript"/>
                <w:lang w:val="es-ES" w:eastAsia="es-ES"/>
              </w:rPr>
              <w:t>19</w:t>
            </w:r>
          </w:p>
          <w:p w:rsidR="00C44DD1" w:rsidRPr="00C44DD1" w:rsidRDefault="00C44DD1" w:rsidP="00C44DD1">
            <w:pPr>
              <w:jc w:val="center"/>
              <w:rPr>
                <w:sz w:val="14"/>
                <w:szCs w:val="14"/>
                <w:lang w:val="es-ES" w:eastAsia="es-ES"/>
              </w:rPr>
            </w:pPr>
          </w:p>
        </w:tc>
        <w:tc>
          <w:tcPr>
            <w:tcW w:w="472" w:type="pct"/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3.95º (grupo control)</w:t>
            </w: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P 0.017</w:t>
            </w:r>
          </w:p>
        </w:tc>
        <w:tc>
          <w:tcPr>
            <w:tcW w:w="472" w:type="pct"/>
          </w:tcPr>
          <w:p w:rsidR="00C44DD1" w:rsidRPr="00C44DD1" w:rsidRDefault="00C44DD1" w:rsidP="00C44DD1">
            <w:pPr>
              <w:rPr>
                <w:b/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489" w:type="pct"/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Redujo -2.35º(grupo UCLP)</w:t>
            </w: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 P 0.248</w:t>
            </w:r>
          </w:p>
        </w:tc>
        <w:tc>
          <w:tcPr>
            <w:tcW w:w="508" w:type="pct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</w:tc>
        <w:tc>
          <w:tcPr>
            <w:tcW w:w="463" w:type="pct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</w:tc>
        <w:tc>
          <w:tcPr>
            <w:tcW w:w="464" w:type="pct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9.54años </w:t>
            </w:r>
          </w:p>
        </w:tc>
        <w:tc>
          <w:tcPr>
            <w:tcW w:w="466" w:type="pct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Hirax</w:t>
            </w:r>
            <w:proofErr w:type="spellEnd"/>
          </w:p>
        </w:tc>
        <w:tc>
          <w:tcPr>
            <w:tcW w:w="591" w:type="pct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450g-500g/ 10º del plano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oclusal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</w:p>
        </w:tc>
        <w:tc>
          <w:tcPr>
            <w:tcW w:w="562" w:type="pct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12h por 9.2 meses </w:t>
            </w:r>
          </w:p>
        </w:tc>
      </w:tr>
      <w:tr w:rsidR="00C44DD1" w:rsidRPr="00C44DD1" w:rsidTr="00C06D0D">
        <w:tc>
          <w:tcPr>
            <w:tcW w:w="512" w:type="pct"/>
          </w:tcPr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vertAlign w:val="superscript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Ahmed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Abdel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Fattah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2008</w:t>
            </w:r>
            <w:r w:rsidRPr="00C44DD1">
              <w:rPr>
                <w:sz w:val="14"/>
                <w:szCs w:val="14"/>
                <w:vertAlign w:val="superscript"/>
                <w:lang w:val="es-ES" w:eastAsia="es-ES"/>
              </w:rPr>
              <w:t>29</w:t>
            </w:r>
          </w:p>
          <w:p w:rsidR="00C44DD1" w:rsidRPr="00C44DD1" w:rsidRDefault="00C44DD1" w:rsidP="00C44DD1">
            <w:pPr>
              <w:jc w:val="center"/>
              <w:rPr>
                <w:sz w:val="14"/>
                <w:szCs w:val="14"/>
                <w:lang w:val="es-ES" w:eastAsia="es-ES"/>
              </w:rPr>
            </w:pPr>
          </w:p>
        </w:tc>
        <w:tc>
          <w:tcPr>
            <w:tcW w:w="472" w:type="pct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</w:tc>
        <w:tc>
          <w:tcPr>
            <w:tcW w:w="472" w:type="pct"/>
          </w:tcPr>
          <w:p w:rsidR="00C44DD1" w:rsidRPr="00C44DD1" w:rsidRDefault="00C44DD1" w:rsidP="00C44DD1">
            <w:pPr>
              <w:spacing w:line="360" w:lineRule="auto"/>
              <w:rPr>
                <w:b/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b/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b/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489" w:type="pct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Redujo </w:t>
            </w: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-9.5º (grupo control)P&lt;0.01</w:t>
            </w:r>
          </w:p>
        </w:tc>
        <w:tc>
          <w:tcPr>
            <w:tcW w:w="508" w:type="pct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</w:tc>
        <w:tc>
          <w:tcPr>
            <w:tcW w:w="463" w:type="pct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</w:tc>
        <w:tc>
          <w:tcPr>
            <w:tcW w:w="464" w:type="pct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5-8años </w:t>
            </w:r>
          </w:p>
        </w:tc>
        <w:tc>
          <w:tcPr>
            <w:tcW w:w="466" w:type="pct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Arco Palatino </w:t>
            </w:r>
          </w:p>
        </w:tc>
        <w:tc>
          <w:tcPr>
            <w:tcW w:w="591" w:type="pct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250g-300g a cada lado</w:t>
            </w:r>
          </w:p>
        </w:tc>
        <w:tc>
          <w:tcPr>
            <w:tcW w:w="562" w:type="pct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16h por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dia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por 12 meses </w:t>
            </w:r>
          </w:p>
        </w:tc>
      </w:tr>
      <w:tr w:rsidR="00C44DD1" w:rsidRPr="00C44DD1" w:rsidTr="00C06D0D">
        <w:tc>
          <w:tcPr>
            <w:tcW w:w="512" w:type="pct"/>
          </w:tcPr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vertAlign w:val="superscript"/>
                <w:lang w:val="es-ES" w:eastAsia="es-ES"/>
              </w:rPr>
            </w:pP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Rolf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Tinlud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1994</w:t>
            </w:r>
            <w:r w:rsidRPr="00C44DD1">
              <w:rPr>
                <w:sz w:val="14"/>
                <w:szCs w:val="14"/>
                <w:vertAlign w:val="superscript"/>
                <w:lang w:val="es-ES" w:eastAsia="es-ES"/>
              </w:rPr>
              <w:t>26</w:t>
            </w:r>
          </w:p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lang w:val="es-ES" w:eastAsia="es-ES"/>
              </w:rPr>
            </w:pPr>
          </w:p>
        </w:tc>
        <w:tc>
          <w:tcPr>
            <w:tcW w:w="472" w:type="pct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10.9º </w:t>
            </w: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No hubo diferencias significativas</w:t>
            </w:r>
          </w:p>
        </w:tc>
        <w:tc>
          <w:tcPr>
            <w:tcW w:w="472" w:type="pct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No hubo cambios en ambos grupos 2.7mm</w:t>
            </w:r>
          </w:p>
        </w:tc>
        <w:tc>
          <w:tcPr>
            <w:tcW w:w="489" w:type="pct"/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Redujo en -17º No hubo diferencias significativas</w:t>
            </w:r>
          </w:p>
        </w:tc>
        <w:tc>
          <w:tcPr>
            <w:tcW w:w="508" w:type="pct"/>
          </w:tcPr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2.7º P&lt;0.05</w:t>
            </w:r>
          </w:p>
        </w:tc>
        <w:tc>
          <w:tcPr>
            <w:tcW w:w="463" w:type="pct"/>
          </w:tcPr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1.1mm P&lt;0.05</w:t>
            </w:r>
          </w:p>
        </w:tc>
        <w:tc>
          <w:tcPr>
            <w:tcW w:w="464" w:type="pct"/>
          </w:tcPr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4.5-9.2años</w:t>
            </w:r>
          </w:p>
        </w:tc>
        <w:tc>
          <w:tcPr>
            <w:tcW w:w="466" w:type="pct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Quad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hélix</w:t>
            </w:r>
          </w:p>
        </w:tc>
        <w:tc>
          <w:tcPr>
            <w:tcW w:w="591" w:type="pct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350g a cada lado/15º abajo del plano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oclusal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</w:p>
        </w:tc>
        <w:tc>
          <w:tcPr>
            <w:tcW w:w="562" w:type="pct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11h por 14meses</w:t>
            </w:r>
          </w:p>
        </w:tc>
      </w:tr>
      <w:tr w:rsidR="00C44DD1" w:rsidRPr="00C44DD1" w:rsidTr="00C06D0D">
        <w:tc>
          <w:tcPr>
            <w:tcW w:w="512" w:type="pct"/>
          </w:tcPr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vertAlign w:val="superscript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P.H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Buschang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1994</w:t>
            </w:r>
            <w:r w:rsidRPr="00C44DD1">
              <w:rPr>
                <w:sz w:val="14"/>
                <w:szCs w:val="14"/>
                <w:vertAlign w:val="superscript"/>
                <w:lang w:val="es-ES" w:eastAsia="es-ES"/>
              </w:rPr>
              <w:t>7</w:t>
            </w:r>
          </w:p>
          <w:p w:rsidR="00C44DD1" w:rsidRPr="00C44DD1" w:rsidRDefault="00C44DD1" w:rsidP="00C44DD1">
            <w:pPr>
              <w:jc w:val="center"/>
              <w:rPr>
                <w:sz w:val="14"/>
                <w:szCs w:val="14"/>
                <w:lang w:val="es-ES" w:eastAsia="es-ES"/>
              </w:rPr>
            </w:pPr>
          </w:p>
        </w:tc>
        <w:tc>
          <w:tcPr>
            <w:tcW w:w="472" w:type="pct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</w:tc>
        <w:tc>
          <w:tcPr>
            <w:tcW w:w="472" w:type="pct"/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2.5mm (grupo UCLP) no hubo diferencias significativas </w:t>
            </w:r>
          </w:p>
        </w:tc>
        <w:tc>
          <w:tcPr>
            <w:tcW w:w="489" w:type="pct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</w:tc>
        <w:tc>
          <w:tcPr>
            <w:tcW w:w="508" w:type="pct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</w:tc>
        <w:tc>
          <w:tcPr>
            <w:tcW w:w="463" w:type="pct"/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1.2mm (grupo control)No hubo diferencias significativas</w:t>
            </w:r>
          </w:p>
        </w:tc>
        <w:tc>
          <w:tcPr>
            <w:tcW w:w="464" w:type="pct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7.3años </w:t>
            </w:r>
          </w:p>
        </w:tc>
        <w:tc>
          <w:tcPr>
            <w:tcW w:w="466" w:type="pct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Férula de acrílico, cobertura completa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oclusal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</w:p>
        </w:tc>
        <w:tc>
          <w:tcPr>
            <w:tcW w:w="591" w:type="pct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450g a cada lado</w:t>
            </w:r>
          </w:p>
        </w:tc>
        <w:tc>
          <w:tcPr>
            <w:tcW w:w="562" w:type="pct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12-14h por 14 meses </w:t>
            </w:r>
          </w:p>
        </w:tc>
      </w:tr>
      <w:tr w:rsidR="00C44DD1" w:rsidRPr="00C44DD1" w:rsidTr="00C06D0D">
        <w:tc>
          <w:tcPr>
            <w:tcW w:w="512" w:type="pct"/>
          </w:tcPr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vertAlign w:val="superscript"/>
                <w:lang w:val="es-ES" w:eastAsia="es-ES"/>
              </w:rPr>
            </w:pP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Rolf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Tinlund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1993</w:t>
            </w:r>
            <w:r w:rsidRPr="00C44DD1">
              <w:rPr>
                <w:sz w:val="14"/>
                <w:szCs w:val="14"/>
                <w:vertAlign w:val="superscript"/>
                <w:lang w:val="es-ES" w:eastAsia="es-ES"/>
              </w:rPr>
              <w:t>20</w:t>
            </w:r>
          </w:p>
          <w:p w:rsidR="00C44DD1" w:rsidRPr="00C44DD1" w:rsidRDefault="00C44DD1" w:rsidP="00C44DD1">
            <w:pPr>
              <w:jc w:val="center"/>
              <w:rPr>
                <w:sz w:val="14"/>
                <w:szCs w:val="14"/>
                <w:lang w:val="es-ES" w:eastAsia="es-ES"/>
              </w:rPr>
            </w:pPr>
          </w:p>
        </w:tc>
        <w:tc>
          <w:tcPr>
            <w:tcW w:w="472" w:type="pct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20.3º (grupo control)P&lt;0.001</w:t>
            </w:r>
          </w:p>
        </w:tc>
        <w:tc>
          <w:tcPr>
            <w:tcW w:w="472" w:type="pct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1.2mm (Grupo control)P&lt;0.001</w:t>
            </w:r>
          </w:p>
        </w:tc>
        <w:tc>
          <w:tcPr>
            <w:tcW w:w="489" w:type="pct"/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Redujo </w:t>
            </w: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-11.2º (grupo CLP)P&lt;0.001</w:t>
            </w:r>
          </w:p>
        </w:tc>
        <w:tc>
          <w:tcPr>
            <w:tcW w:w="508" w:type="pct"/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22º (grupo control)P&lt;0.001</w:t>
            </w:r>
          </w:p>
        </w:tc>
        <w:tc>
          <w:tcPr>
            <w:tcW w:w="463" w:type="pct"/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2.9mm (grupo control)P&lt;0.001</w:t>
            </w:r>
          </w:p>
        </w:tc>
        <w:tc>
          <w:tcPr>
            <w:tcW w:w="464" w:type="pct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6años, 11 meses </w:t>
            </w:r>
          </w:p>
        </w:tc>
        <w:tc>
          <w:tcPr>
            <w:tcW w:w="466" w:type="pct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Quad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hélix</w:t>
            </w:r>
          </w:p>
        </w:tc>
        <w:tc>
          <w:tcPr>
            <w:tcW w:w="591" w:type="pct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350g a cada lado/15º con relación al plano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oclusal</w:t>
            </w:r>
            <w:proofErr w:type="spellEnd"/>
          </w:p>
        </w:tc>
        <w:tc>
          <w:tcPr>
            <w:tcW w:w="562" w:type="pct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11h por día por 13meses </w:t>
            </w:r>
          </w:p>
        </w:tc>
      </w:tr>
      <w:tr w:rsidR="00C44DD1" w:rsidRPr="00C44DD1" w:rsidTr="00C06D0D">
        <w:tc>
          <w:tcPr>
            <w:tcW w:w="512" w:type="pct"/>
          </w:tcPr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vertAlign w:val="superscript"/>
                <w:lang w:val="es-ES" w:eastAsia="es-ES"/>
              </w:rPr>
            </w:pP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Rolf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Tinlund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1993</w:t>
            </w:r>
            <w:r w:rsidRPr="00C44DD1">
              <w:rPr>
                <w:sz w:val="14"/>
                <w:szCs w:val="14"/>
                <w:vertAlign w:val="superscript"/>
                <w:lang w:val="es-ES" w:eastAsia="es-ES"/>
              </w:rPr>
              <w:t>17</w:t>
            </w:r>
          </w:p>
          <w:p w:rsidR="00C44DD1" w:rsidRPr="00C44DD1" w:rsidRDefault="00C44DD1" w:rsidP="00C44DD1">
            <w:pPr>
              <w:jc w:val="center"/>
              <w:rPr>
                <w:sz w:val="14"/>
                <w:szCs w:val="14"/>
                <w:lang w:val="es-ES" w:eastAsia="es-ES"/>
              </w:rPr>
            </w:pPr>
          </w:p>
        </w:tc>
        <w:tc>
          <w:tcPr>
            <w:tcW w:w="472" w:type="pct"/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10.1º(grupo UCLP) P&lt;0.001</w:t>
            </w:r>
          </w:p>
        </w:tc>
        <w:tc>
          <w:tcPr>
            <w:tcW w:w="472" w:type="pct"/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-0.7mm (grupo UCLP) P&lt;0.05</w:t>
            </w:r>
          </w:p>
        </w:tc>
        <w:tc>
          <w:tcPr>
            <w:tcW w:w="489" w:type="pct"/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Redujo </w:t>
            </w: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-12.8º (grupo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bclp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) </w:t>
            </w:r>
          </w:p>
        </w:tc>
        <w:tc>
          <w:tcPr>
            <w:tcW w:w="508" w:type="pct"/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12.8º (grupo BCLP)P&lt;0.001</w:t>
            </w:r>
          </w:p>
        </w:tc>
        <w:tc>
          <w:tcPr>
            <w:tcW w:w="463" w:type="pct"/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0.9mm (grupo BCLP)no hubo diferencias</w:t>
            </w:r>
          </w:p>
        </w:tc>
        <w:tc>
          <w:tcPr>
            <w:tcW w:w="464" w:type="pct"/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6años, 11meses </w:t>
            </w:r>
          </w:p>
        </w:tc>
        <w:tc>
          <w:tcPr>
            <w:tcW w:w="466" w:type="pct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Quad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Helix</w:t>
            </w:r>
            <w:proofErr w:type="spellEnd"/>
          </w:p>
        </w:tc>
        <w:tc>
          <w:tcPr>
            <w:tcW w:w="591" w:type="pct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350g a cada lado/ 15º del plano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oclusal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</w:p>
        </w:tc>
        <w:tc>
          <w:tcPr>
            <w:tcW w:w="562" w:type="pct"/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11h por 12meses (UCLP) y 15meses (BCLP)</w:t>
            </w:r>
          </w:p>
        </w:tc>
      </w:tr>
    </w:tbl>
    <w:p w:rsidR="00C44DD1" w:rsidRPr="00C44DD1" w:rsidRDefault="00C44DD1" w:rsidP="00C44D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4DD1" w:rsidRPr="00C44DD1" w:rsidRDefault="00C44DD1" w:rsidP="00C44D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4DD1" w:rsidRPr="00C44DD1" w:rsidRDefault="00C44DD1" w:rsidP="00C44D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4DD1" w:rsidRPr="00C44DD1" w:rsidRDefault="00C44DD1" w:rsidP="00C44D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4DD1" w:rsidRPr="00C44DD1" w:rsidRDefault="00C44DD1" w:rsidP="00C44D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4DD1" w:rsidRPr="00C44DD1" w:rsidRDefault="00C44DD1" w:rsidP="00C44D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4DD1" w:rsidRPr="00C44DD1" w:rsidRDefault="00C44DD1" w:rsidP="00C44D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4DD1" w:rsidRPr="00C44DD1" w:rsidRDefault="00C44DD1" w:rsidP="00C44D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4DD1" w:rsidRPr="00C44DD1" w:rsidRDefault="00C44DD1" w:rsidP="00C44D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4DD1" w:rsidRPr="00C44DD1" w:rsidRDefault="00C44DD1" w:rsidP="00C44D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4DD1" w:rsidRPr="00C44DD1" w:rsidRDefault="00C44DD1" w:rsidP="00C44D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4DD1" w:rsidRPr="00C44DD1" w:rsidRDefault="00C44DD1" w:rsidP="00C44D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C44DD1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Tabla 4: Comparación Pre y Post tratamiento de resultados esqueléticos medidos en mm</w:t>
      </w:r>
    </w:p>
    <w:tbl>
      <w:tblPr>
        <w:tblStyle w:val="Tablabsica1"/>
        <w:tblW w:w="9568" w:type="dxa"/>
        <w:tblLayout w:type="fixed"/>
        <w:tblLook w:val="04A0"/>
      </w:tblPr>
      <w:tblGrid>
        <w:gridCol w:w="820"/>
        <w:gridCol w:w="1032"/>
        <w:gridCol w:w="1053"/>
        <w:gridCol w:w="1134"/>
        <w:gridCol w:w="851"/>
        <w:gridCol w:w="992"/>
        <w:gridCol w:w="992"/>
        <w:gridCol w:w="851"/>
        <w:gridCol w:w="992"/>
        <w:gridCol w:w="851"/>
      </w:tblGrid>
      <w:tr w:rsidR="00C44DD1" w:rsidRPr="00C44DD1" w:rsidTr="00C06D0D">
        <w:trPr>
          <w:cnfStyle w:val="100000000000"/>
        </w:trPr>
        <w:tc>
          <w:tcPr>
            <w:tcW w:w="820" w:type="dxa"/>
            <w:tcBorders>
              <w:top w:val="single" w:sz="12" w:space="0" w:color="008000"/>
            </w:tcBorders>
          </w:tcPr>
          <w:p w:rsidR="00C44DD1" w:rsidRPr="00C44DD1" w:rsidRDefault="00C44DD1" w:rsidP="00C44DD1">
            <w:pPr>
              <w:spacing w:line="360" w:lineRule="auto"/>
              <w:rPr>
                <w:b/>
                <w:sz w:val="14"/>
                <w:szCs w:val="14"/>
                <w:lang w:val="es-ES" w:eastAsia="es-ES"/>
              </w:rPr>
            </w:pPr>
            <w:r w:rsidRPr="00C44DD1">
              <w:rPr>
                <w:b/>
                <w:sz w:val="14"/>
                <w:szCs w:val="14"/>
                <w:lang w:val="es-ES" w:eastAsia="es-ES"/>
              </w:rPr>
              <w:t>Autor</w:t>
            </w:r>
          </w:p>
        </w:tc>
        <w:tc>
          <w:tcPr>
            <w:tcW w:w="1032" w:type="dxa"/>
            <w:tcBorders>
              <w:top w:val="single" w:sz="12" w:space="0" w:color="008000"/>
            </w:tcBorders>
          </w:tcPr>
          <w:p w:rsidR="00C44DD1" w:rsidRPr="00C44DD1" w:rsidRDefault="00C44DD1" w:rsidP="00C44DD1">
            <w:pPr>
              <w:spacing w:line="360" w:lineRule="auto"/>
              <w:rPr>
                <w:b/>
                <w:sz w:val="14"/>
                <w:szCs w:val="14"/>
                <w:lang w:val="es-ES" w:eastAsia="es-ES"/>
              </w:rPr>
            </w:pPr>
            <w:r w:rsidRPr="00C44DD1">
              <w:rPr>
                <w:b/>
                <w:sz w:val="14"/>
                <w:szCs w:val="14"/>
                <w:lang w:val="es-ES" w:eastAsia="es-ES"/>
              </w:rPr>
              <w:t xml:space="preserve">Longitud maxilar </w:t>
            </w:r>
          </w:p>
        </w:tc>
        <w:tc>
          <w:tcPr>
            <w:tcW w:w="1053" w:type="dxa"/>
            <w:tcBorders>
              <w:top w:val="single" w:sz="12" w:space="0" w:color="008000"/>
            </w:tcBorders>
          </w:tcPr>
          <w:p w:rsidR="00C44DD1" w:rsidRPr="00C44DD1" w:rsidRDefault="00C44DD1" w:rsidP="00C44DD1">
            <w:pPr>
              <w:spacing w:line="360" w:lineRule="auto"/>
              <w:jc w:val="center"/>
              <w:rPr>
                <w:b/>
                <w:sz w:val="14"/>
                <w:szCs w:val="14"/>
                <w:lang w:val="es-ES" w:eastAsia="es-ES"/>
              </w:rPr>
            </w:pPr>
            <w:r w:rsidRPr="00C44DD1">
              <w:rPr>
                <w:b/>
                <w:sz w:val="14"/>
                <w:szCs w:val="14"/>
                <w:lang w:val="es-ES" w:eastAsia="es-ES"/>
              </w:rPr>
              <w:t>Adelantamiento maxilar</w:t>
            </w:r>
          </w:p>
        </w:tc>
        <w:tc>
          <w:tcPr>
            <w:tcW w:w="1134" w:type="dxa"/>
            <w:tcBorders>
              <w:top w:val="single" w:sz="12" w:space="0" w:color="008000"/>
            </w:tcBorders>
          </w:tcPr>
          <w:p w:rsidR="00C44DD1" w:rsidRPr="00C44DD1" w:rsidRDefault="00C44DD1" w:rsidP="00C44DD1">
            <w:pPr>
              <w:spacing w:line="360" w:lineRule="auto"/>
              <w:rPr>
                <w:b/>
                <w:sz w:val="14"/>
                <w:szCs w:val="14"/>
                <w:lang w:val="es-ES" w:eastAsia="es-ES"/>
              </w:rPr>
            </w:pPr>
            <w:r w:rsidRPr="00C44DD1">
              <w:rPr>
                <w:b/>
                <w:sz w:val="14"/>
                <w:szCs w:val="14"/>
                <w:lang w:val="es-ES" w:eastAsia="es-ES"/>
              </w:rPr>
              <w:t>Dimensión vertical</w:t>
            </w:r>
          </w:p>
        </w:tc>
        <w:tc>
          <w:tcPr>
            <w:tcW w:w="851" w:type="dxa"/>
            <w:tcBorders>
              <w:top w:val="single" w:sz="12" w:space="0" w:color="008000"/>
            </w:tcBorders>
          </w:tcPr>
          <w:p w:rsidR="00C44DD1" w:rsidRPr="00C44DD1" w:rsidRDefault="00C44DD1" w:rsidP="00C44DD1">
            <w:pPr>
              <w:spacing w:line="360" w:lineRule="auto"/>
              <w:rPr>
                <w:b/>
                <w:sz w:val="14"/>
                <w:szCs w:val="14"/>
                <w:lang w:val="es-ES" w:eastAsia="es-ES"/>
              </w:rPr>
            </w:pPr>
            <w:r w:rsidRPr="00C44DD1">
              <w:rPr>
                <w:b/>
                <w:sz w:val="14"/>
                <w:szCs w:val="14"/>
                <w:lang w:val="es-ES" w:eastAsia="es-ES"/>
              </w:rPr>
              <w:t>Punto B</w:t>
            </w:r>
          </w:p>
        </w:tc>
        <w:tc>
          <w:tcPr>
            <w:tcW w:w="992" w:type="dxa"/>
            <w:tcBorders>
              <w:top w:val="single" w:sz="12" w:space="0" w:color="008000"/>
            </w:tcBorders>
          </w:tcPr>
          <w:p w:rsidR="00C44DD1" w:rsidRPr="00C44DD1" w:rsidRDefault="00C44DD1" w:rsidP="00C44DD1">
            <w:pPr>
              <w:spacing w:line="360" w:lineRule="auto"/>
              <w:rPr>
                <w:b/>
                <w:sz w:val="14"/>
                <w:szCs w:val="14"/>
                <w:lang w:val="es-ES" w:eastAsia="es-ES"/>
              </w:rPr>
            </w:pPr>
            <w:r w:rsidRPr="00C44DD1">
              <w:rPr>
                <w:b/>
                <w:sz w:val="14"/>
                <w:szCs w:val="14"/>
                <w:lang w:val="es-ES" w:eastAsia="es-ES"/>
              </w:rPr>
              <w:t xml:space="preserve">Punto </w:t>
            </w:r>
            <w:proofErr w:type="spellStart"/>
            <w:r w:rsidRPr="00C44DD1">
              <w:rPr>
                <w:b/>
                <w:sz w:val="14"/>
                <w:szCs w:val="14"/>
                <w:lang w:val="es-ES" w:eastAsia="es-ES"/>
              </w:rPr>
              <w:t>Pg</w:t>
            </w:r>
            <w:proofErr w:type="spellEnd"/>
            <w:r w:rsidRPr="00C44DD1">
              <w:rPr>
                <w:b/>
                <w:sz w:val="14"/>
                <w:szCs w:val="14"/>
                <w:lang w:val="es-ES" w:eastAsia="es-ES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008000"/>
            </w:tcBorders>
          </w:tcPr>
          <w:p w:rsidR="00C44DD1" w:rsidRPr="00C44DD1" w:rsidRDefault="00C44DD1" w:rsidP="00C44DD1">
            <w:pPr>
              <w:spacing w:line="360" w:lineRule="auto"/>
              <w:rPr>
                <w:b/>
                <w:sz w:val="14"/>
                <w:szCs w:val="14"/>
                <w:lang w:val="es-ES" w:eastAsia="es-ES"/>
              </w:rPr>
            </w:pPr>
            <w:r w:rsidRPr="00C44DD1">
              <w:rPr>
                <w:b/>
                <w:sz w:val="14"/>
                <w:szCs w:val="14"/>
                <w:lang w:val="es-ES" w:eastAsia="es-ES"/>
              </w:rPr>
              <w:t>Edad Promedio</w:t>
            </w:r>
          </w:p>
        </w:tc>
        <w:tc>
          <w:tcPr>
            <w:tcW w:w="851" w:type="dxa"/>
            <w:tcBorders>
              <w:top w:val="single" w:sz="12" w:space="0" w:color="008000"/>
            </w:tcBorders>
          </w:tcPr>
          <w:p w:rsidR="00C44DD1" w:rsidRPr="00C44DD1" w:rsidRDefault="00C44DD1" w:rsidP="00C44DD1">
            <w:pPr>
              <w:spacing w:line="360" w:lineRule="auto"/>
              <w:rPr>
                <w:b/>
                <w:sz w:val="14"/>
                <w:szCs w:val="14"/>
                <w:lang w:val="es-ES" w:eastAsia="es-ES"/>
              </w:rPr>
            </w:pPr>
            <w:r w:rsidRPr="00C44DD1">
              <w:rPr>
                <w:b/>
                <w:sz w:val="14"/>
                <w:szCs w:val="14"/>
                <w:lang w:val="es-ES" w:eastAsia="es-ES"/>
              </w:rPr>
              <w:t xml:space="preserve">Aparato </w:t>
            </w:r>
            <w:proofErr w:type="spellStart"/>
            <w:r w:rsidRPr="00C44DD1">
              <w:rPr>
                <w:b/>
                <w:sz w:val="14"/>
                <w:szCs w:val="14"/>
                <w:lang w:val="es-ES" w:eastAsia="es-ES"/>
              </w:rPr>
              <w:t>Intraoral</w:t>
            </w:r>
            <w:proofErr w:type="spellEnd"/>
            <w:r w:rsidRPr="00C44DD1">
              <w:rPr>
                <w:b/>
                <w:sz w:val="14"/>
                <w:szCs w:val="14"/>
                <w:lang w:val="es-ES" w:eastAsia="es-ES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008000"/>
            </w:tcBorders>
          </w:tcPr>
          <w:p w:rsidR="00C44DD1" w:rsidRPr="00C44DD1" w:rsidRDefault="00C44DD1" w:rsidP="00C44DD1">
            <w:pPr>
              <w:spacing w:line="360" w:lineRule="auto"/>
              <w:rPr>
                <w:b/>
                <w:sz w:val="14"/>
                <w:szCs w:val="14"/>
                <w:lang w:val="es-ES" w:eastAsia="es-ES"/>
              </w:rPr>
            </w:pPr>
            <w:r w:rsidRPr="00C44DD1">
              <w:rPr>
                <w:b/>
                <w:sz w:val="14"/>
                <w:szCs w:val="14"/>
                <w:lang w:val="es-ES" w:eastAsia="es-ES"/>
              </w:rPr>
              <w:t>Fuerza de elásticos /dirección</w:t>
            </w:r>
          </w:p>
        </w:tc>
        <w:tc>
          <w:tcPr>
            <w:tcW w:w="851" w:type="dxa"/>
            <w:tcBorders>
              <w:top w:val="single" w:sz="12" w:space="0" w:color="008000"/>
            </w:tcBorders>
          </w:tcPr>
          <w:p w:rsidR="00C44DD1" w:rsidRPr="00C44DD1" w:rsidRDefault="00C44DD1" w:rsidP="00C44DD1">
            <w:pPr>
              <w:spacing w:line="360" w:lineRule="auto"/>
              <w:rPr>
                <w:b/>
                <w:sz w:val="14"/>
                <w:szCs w:val="14"/>
                <w:lang w:val="es-ES" w:eastAsia="es-ES"/>
              </w:rPr>
            </w:pPr>
            <w:r w:rsidRPr="00C44DD1">
              <w:rPr>
                <w:b/>
                <w:sz w:val="14"/>
                <w:szCs w:val="14"/>
                <w:lang w:val="es-ES" w:eastAsia="es-ES"/>
              </w:rPr>
              <w:t xml:space="preserve">Tiempo de uso </w:t>
            </w:r>
          </w:p>
        </w:tc>
      </w:tr>
      <w:tr w:rsidR="00C44DD1" w:rsidRPr="00C44DD1" w:rsidTr="00C06D0D">
        <w:tc>
          <w:tcPr>
            <w:tcW w:w="820" w:type="dxa"/>
          </w:tcPr>
          <w:p w:rsidR="00C44DD1" w:rsidRPr="00C44DD1" w:rsidRDefault="00C44DD1" w:rsidP="00C44DD1">
            <w:pPr>
              <w:rPr>
                <w:sz w:val="14"/>
                <w:szCs w:val="14"/>
                <w:vertAlign w:val="superscript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Servet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Dogan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2012</w:t>
            </w:r>
            <w:r w:rsidRPr="00C44DD1">
              <w:rPr>
                <w:sz w:val="14"/>
                <w:szCs w:val="14"/>
                <w:vertAlign w:val="superscript"/>
                <w:lang w:val="es-ES" w:eastAsia="es-ES"/>
              </w:rPr>
              <w:t>33</w:t>
            </w:r>
          </w:p>
        </w:tc>
        <w:tc>
          <w:tcPr>
            <w:tcW w:w="1032" w:type="dxa"/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Aumento 3.52mm p≤0.001</w:t>
            </w:r>
          </w:p>
        </w:tc>
        <w:tc>
          <w:tcPr>
            <w:tcW w:w="1053" w:type="dxa"/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Aumento 2.89mm p≤0.001 </w:t>
            </w:r>
          </w:p>
        </w:tc>
        <w:tc>
          <w:tcPr>
            <w:tcW w:w="1134" w:type="dxa"/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Aumento 1.17mm p≤0.026</w:t>
            </w:r>
          </w:p>
        </w:tc>
        <w:tc>
          <w:tcPr>
            <w:tcW w:w="851" w:type="dxa"/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Redujo 1.55mm p≤0.001</w:t>
            </w:r>
          </w:p>
        </w:tc>
        <w:tc>
          <w:tcPr>
            <w:tcW w:w="992" w:type="dxa"/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Niñas: 8.69±1.64</w:t>
            </w: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Niños: 8.7±2.64</w:t>
            </w:r>
          </w:p>
        </w:tc>
        <w:tc>
          <w:tcPr>
            <w:tcW w:w="851" w:type="dxa"/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Placa acrílico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oclusal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con tornillo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Hirax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(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Mcnamara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>)</w:t>
            </w:r>
          </w:p>
        </w:tc>
        <w:tc>
          <w:tcPr>
            <w:tcW w:w="992" w:type="dxa"/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800g a cada lado </w:t>
            </w:r>
          </w:p>
        </w:tc>
        <w:tc>
          <w:tcPr>
            <w:tcW w:w="851" w:type="dxa"/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7 meses y 5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dias</w:t>
            </w:r>
            <w:proofErr w:type="spellEnd"/>
          </w:p>
        </w:tc>
      </w:tr>
      <w:tr w:rsidR="00C44DD1" w:rsidRPr="00C44DD1" w:rsidTr="00C06D0D">
        <w:trPr>
          <w:trHeight w:val="595"/>
        </w:trPr>
        <w:tc>
          <w:tcPr>
            <w:tcW w:w="820" w:type="dxa"/>
          </w:tcPr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vertAlign w:val="superscript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Gustavo da Luz Vieira 2009</w:t>
            </w:r>
            <w:r w:rsidRPr="00C44DD1">
              <w:rPr>
                <w:sz w:val="14"/>
                <w:szCs w:val="14"/>
                <w:vertAlign w:val="superscript"/>
                <w:lang w:val="es-ES" w:eastAsia="es-ES"/>
              </w:rPr>
              <w:t>27</w:t>
            </w:r>
          </w:p>
          <w:p w:rsidR="00C44DD1" w:rsidRPr="00C44DD1" w:rsidRDefault="00C44DD1" w:rsidP="00C44DD1">
            <w:pPr>
              <w:jc w:val="center"/>
              <w:rPr>
                <w:sz w:val="14"/>
                <w:szCs w:val="14"/>
                <w:lang w:val="es-ES" w:eastAsia="es-ES"/>
              </w:rPr>
            </w:pPr>
          </w:p>
        </w:tc>
        <w:tc>
          <w:tcPr>
            <w:tcW w:w="1032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</w:tc>
        <w:tc>
          <w:tcPr>
            <w:tcW w:w="1053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2.74mm (grupo expansión)</w:t>
            </w:r>
          </w:p>
        </w:tc>
        <w:tc>
          <w:tcPr>
            <w:tcW w:w="1134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Aumento 5.7mm (grupo expansión)</w:t>
            </w: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P.5585</w:t>
            </w:r>
          </w:p>
        </w:tc>
        <w:tc>
          <w:tcPr>
            <w:tcW w:w="851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4.54mm (grupo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expansion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>) P.9009</w:t>
            </w:r>
          </w:p>
        </w:tc>
        <w:tc>
          <w:tcPr>
            <w:tcW w:w="992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10.4 años </w:t>
            </w:r>
          </w:p>
        </w:tc>
        <w:tc>
          <w:tcPr>
            <w:tcW w:w="851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Tornillo de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Hass</w:t>
            </w:r>
            <w:proofErr w:type="spellEnd"/>
          </w:p>
        </w:tc>
        <w:tc>
          <w:tcPr>
            <w:tcW w:w="992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500g a cada lado/30º del plano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oclusal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</w:p>
        </w:tc>
        <w:tc>
          <w:tcPr>
            <w:tcW w:w="851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6meses </w:t>
            </w:r>
          </w:p>
        </w:tc>
      </w:tr>
      <w:tr w:rsidR="00C44DD1" w:rsidRPr="00C44DD1" w:rsidTr="00C06D0D">
        <w:trPr>
          <w:trHeight w:val="595"/>
        </w:trPr>
        <w:tc>
          <w:tcPr>
            <w:tcW w:w="820" w:type="dxa"/>
          </w:tcPr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vertAlign w:val="superscript"/>
                <w:lang w:val="es-ES" w:eastAsia="es-ES"/>
              </w:rPr>
            </w:pP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Haichao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Jiaa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2008</w:t>
            </w:r>
            <w:r w:rsidRPr="00C44DD1">
              <w:rPr>
                <w:sz w:val="14"/>
                <w:szCs w:val="14"/>
                <w:vertAlign w:val="superscript"/>
                <w:lang w:val="es-ES" w:eastAsia="es-ES"/>
              </w:rPr>
              <w:t>19</w:t>
            </w:r>
          </w:p>
          <w:p w:rsidR="00C44DD1" w:rsidRPr="00C44DD1" w:rsidRDefault="00C44DD1" w:rsidP="00C44DD1">
            <w:pPr>
              <w:jc w:val="center"/>
              <w:rPr>
                <w:sz w:val="14"/>
                <w:szCs w:val="14"/>
                <w:lang w:val="es-ES" w:eastAsia="es-ES"/>
              </w:rPr>
            </w:pPr>
          </w:p>
        </w:tc>
        <w:tc>
          <w:tcPr>
            <w:tcW w:w="1032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</w:tc>
        <w:tc>
          <w:tcPr>
            <w:tcW w:w="1053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2.34mm (UCLP)</w:t>
            </w: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P&lt;0.001</w:t>
            </w:r>
          </w:p>
        </w:tc>
        <w:tc>
          <w:tcPr>
            <w:tcW w:w="1134" w:type="dxa"/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Aumento 4.54mm (UCLP)</w:t>
            </w: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P&lt;0.001</w:t>
            </w:r>
          </w:p>
        </w:tc>
        <w:tc>
          <w:tcPr>
            <w:tcW w:w="851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Redujo 3.57mm (UCLP)</w:t>
            </w: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P&lt;0.001</w:t>
            </w:r>
          </w:p>
        </w:tc>
        <w:tc>
          <w:tcPr>
            <w:tcW w:w="992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9.54años </w:t>
            </w:r>
          </w:p>
        </w:tc>
        <w:tc>
          <w:tcPr>
            <w:tcW w:w="851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Hirax</w:t>
            </w:r>
            <w:proofErr w:type="spellEnd"/>
          </w:p>
        </w:tc>
        <w:tc>
          <w:tcPr>
            <w:tcW w:w="992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450g-500g/ 10º del plano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oclusal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</w:p>
        </w:tc>
        <w:tc>
          <w:tcPr>
            <w:tcW w:w="851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12h por 9.2 meses </w:t>
            </w:r>
          </w:p>
        </w:tc>
      </w:tr>
      <w:tr w:rsidR="00C44DD1" w:rsidRPr="00C44DD1" w:rsidTr="00C06D0D">
        <w:trPr>
          <w:trHeight w:val="595"/>
        </w:trPr>
        <w:tc>
          <w:tcPr>
            <w:tcW w:w="820" w:type="dxa"/>
          </w:tcPr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vertAlign w:val="superscript"/>
                <w:lang w:val="es-ES" w:eastAsia="es-ES"/>
              </w:rPr>
            </w:pP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Rolf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Tinlud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1994</w:t>
            </w:r>
            <w:r w:rsidRPr="00C44DD1">
              <w:rPr>
                <w:sz w:val="14"/>
                <w:szCs w:val="14"/>
                <w:vertAlign w:val="superscript"/>
                <w:lang w:val="es-ES" w:eastAsia="es-ES"/>
              </w:rPr>
              <w:t>26</w:t>
            </w:r>
          </w:p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lang w:val="es-ES" w:eastAsia="es-ES"/>
              </w:rPr>
            </w:pPr>
          </w:p>
        </w:tc>
        <w:tc>
          <w:tcPr>
            <w:tcW w:w="1032" w:type="dxa"/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Aumento 1.2mm No hubo diferencias significativas</w:t>
            </w:r>
          </w:p>
        </w:tc>
        <w:tc>
          <w:tcPr>
            <w:tcW w:w="1053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2.4mm P&lt;0.001</w:t>
            </w:r>
          </w:p>
        </w:tc>
        <w:tc>
          <w:tcPr>
            <w:tcW w:w="1134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Aumento 2.7mm P&lt;0.001</w:t>
            </w:r>
          </w:p>
        </w:tc>
        <w:tc>
          <w:tcPr>
            <w:tcW w:w="851" w:type="dxa"/>
          </w:tcPr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2.9mm P&lt;0.05</w:t>
            </w:r>
          </w:p>
        </w:tc>
        <w:tc>
          <w:tcPr>
            <w:tcW w:w="992" w:type="dxa"/>
          </w:tcPr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</w:tcPr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4.5-9.2años</w:t>
            </w:r>
          </w:p>
        </w:tc>
        <w:tc>
          <w:tcPr>
            <w:tcW w:w="851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Quad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hélix</w:t>
            </w:r>
          </w:p>
        </w:tc>
        <w:tc>
          <w:tcPr>
            <w:tcW w:w="992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350g a cada lado/15º abajo del plano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oclusal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</w:p>
        </w:tc>
        <w:tc>
          <w:tcPr>
            <w:tcW w:w="851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11h por 14meses</w:t>
            </w:r>
          </w:p>
        </w:tc>
      </w:tr>
      <w:tr w:rsidR="00C44DD1" w:rsidRPr="00C44DD1" w:rsidTr="00C06D0D">
        <w:tc>
          <w:tcPr>
            <w:tcW w:w="820" w:type="dxa"/>
          </w:tcPr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vertAlign w:val="superscript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P.H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Buschang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1994</w:t>
            </w:r>
            <w:r w:rsidRPr="00C44DD1">
              <w:rPr>
                <w:sz w:val="14"/>
                <w:szCs w:val="14"/>
                <w:vertAlign w:val="superscript"/>
                <w:lang w:val="es-ES" w:eastAsia="es-ES"/>
              </w:rPr>
              <w:t>7</w:t>
            </w:r>
          </w:p>
          <w:p w:rsidR="00C44DD1" w:rsidRPr="00C44DD1" w:rsidRDefault="00C44DD1" w:rsidP="00C44DD1">
            <w:pPr>
              <w:jc w:val="center"/>
              <w:rPr>
                <w:sz w:val="14"/>
                <w:szCs w:val="14"/>
                <w:lang w:val="es-ES" w:eastAsia="es-ES"/>
              </w:rPr>
            </w:pPr>
          </w:p>
        </w:tc>
        <w:tc>
          <w:tcPr>
            <w:tcW w:w="1032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</w:tc>
        <w:tc>
          <w:tcPr>
            <w:tcW w:w="1053" w:type="dxa"/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0.8mm para ambos grupos, No hubo diferencias significativas </w:t>
            </w:r>
          </w:p>
        </w:tc>
        <w:tc>
          <w:tcPr>
            <w:tcW w:w="1134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</w:tc>
        <w:tc>
          <w:tcPr>
            <w:tcW w:w="851" w:type="dxa"/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-0.2mm (UCLP)</w:t>
            </w: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 P 0.02</w:t>
            </w:r>
          </w:p>
        </w:tc>
        <w:tc>
          <w:tcPr>
            <w:tcW w:w="992" w:type="dxa"/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0.2mm (UCLP)</w:t>
            </w: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P 0.03</w:t>
            </w:r>
          </w:p>
        </w:tc>
        <w:tc>
          <w:tcPr>
            <w:tcW w:w="992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7.3años </w:t>
            </w:r>
          </w:p>
        </w:tc>
        <w:tc>
          <w:tcPr>
            <w:tcW w:w="851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Férula de acrílico, cobertura completa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oclusal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</w:p>
        </w:tc>
        <w:tc>
          <w:tcPr>
            <w:tcW w:w="992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450g a cada lado</w:t>
            </w:r>
          </w:p>
        </w:tc>
        <w:tc>
          <w:tcPr>
            <w:tcW w:w="851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12-14h por 14 meses </w:t>
            </w:r>
          </w:p>
        </w:tc>
      </w:tr>
      <w:tr w:rsidR="00C44DD1" w:rsidRPr="00C44DD1" w:rsidTr="00C06D0D">
        <w:tc>
          <w:tcPr>
            <w:tcW w:w="820" w:type="dxa"/>
          </w:tcPr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vertAlign w:val="superscript"/>
                <w:lang w:val="es-ES" w:eastAsia="es-ES"/>
              </w:rPr>
            </w:pP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Rolf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Tinlund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1993</w:t>
            </w:r>
            <w:r w:rsidRPr="00C44DD1">
              <w:rPr>
                <w:sz w:val="14"/>
                <w:szCs w:val="14"/>
                <w:vertAlign w:val="superscript"/>
                <w:lang w:val="es-ES" w:eastAsia="es-ES"/>
              </w:rPr>
              <w:t>20</w:t>
            </w:r>
          </w:p>
          <w:p w:rsidR="00C44DD1" w:rsidRPr="00C44DD1" w:rsidRDefault="00C44DD1" w:rsidP="00C44DD1">
            <w:pPr>
              <w:jc w:val="center"/>
              <w:rPr>
                <w:sz w:val="14"/>
                <w:szCs w:val="14"/>
                <w:lang w:val="es-ES" w:eastAsia="es-ES"/>
              </w:rPr>
            </w:pPr>
          </w:p>
        </w:tc>
        <w:tc>
          <w:tcPr>
            <w:tcW w:w="1032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Aumento 1mm (CLP)</w:t>
            </w: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P&lt;0.001</w:t>
            </w:r>
          </w:p>
        </w:tc>
        <w:tc>
          <w:tcPr>
            <w:tcW w:w="1053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0.9mm (CLP)P&lt;0.01</w:t>
            </w:r>
          </w:p>
        </w:tc>
        <w:tc>
          <w:tcPr>
            <w:tcW w:w="1134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Aumento 3.1mm (control) No hubo diferencias significativas</w:t>
            </w:r>
          </w:p>
        </w:tc>
        <w:tc>
          <w:tcPr>
            <w:tcW w:w="851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-1.6mm (CLP)</w:t>
            </w: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P&lt;0.01</w:t>
            </w:r>
          </w:p>
        </w:tc>
        <w:tc>
          <w:tcPr>
            <w:tcW w:w="992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6años, 11 meses </w:t>
            </w:r>
          </w:p>
        </w:tc>
        <w:tc>
          <w:tcPr>
            <w:tcW w:w="851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Quad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hélix</w:t>
            </w:r>
          </w:p>
        </w:tc>
        <w:tc>
          <w:tcPr>
            <w:tcW w:w="992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350g a cada lado/15º con relación al plano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oclusal</w:t>
            </w:r>
            <w:proofErr w:type="spellEnd"/>
          </w:p>
        </w:tc>
        <w:tc>
          <w:tcPr>
            <w:tcW w:w="851" w:type="dxa"/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11h por día por 13meses </w:t>
            </w:r>
          </w:p>
        </w:tc>
      </w:tr>
      <w:tr w:rsidR="00C44DD1" w:rsidRPr="00C44DD1" w:rsidTr="00C06D0D">
        <w:tc>
          <w:tcPr>
            <w:tcW w:w="820" w:type="dxa"/>
            <w:tcBorders>
              <w:bottom w:val="single" w:sz="12" w:space="0" w:color="008000"/>
            </w:tcBorders>
          </w:tcPr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spacing w:line="360" w:lineRule="auto"/>
              <w:jc w:val="center"/>
              <w:rPr>
                <w:sz w:val="14"/>
                <w:szCs w:val="14"/>
                <w:vertAlign w:val="superscript"/>
                <w:lang w:val="es-ES" w:eastAsia="es-ES"/>
              </w:rPr>
            </w:pP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Rolf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Tinlund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1993</w:t>
            </w:r>
            <w:r w:rsidRPr="00C44DD1">
              <w:rPr>
                <w:sz w:val="14"/>
                <w:szCs w:val="14"/>
                <w:vertAlign w:val="superscript"/>
                <w:lang w:val="es-ES" w:eastAsia="es-ES"/>
              </w:rPr>
              <w:t>17</w:t>
            </w:r>
          </w:p>
          <w:p w:rsidR="00C44DD1" w:rsidRPr="00C44DD1" w:rsidRDefault="00C44DD1" w:rsidP="00C44DD1">
            <w:pPr>
              <w:jc w:val="center"/>
              <w:rPr>
                <w:sz w:val="14"/>
                <w:szCs w:val="14"/>
                <w:lang w:val="es-ES" w:eastAsia="es-ES"/>
              </w:rPr>
            </w:pPr>
          </w:p>
        </w:tc>
        <w:tc>
          <w:tcPr>
            <w:tcW w:w="1032" w:type="dxa"/>
            <w:tcBorders>
              <w:bottom w:val="single" w:sz="12" w:space="0" w:color="008000"/>
            </w:tcBorders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Aumento 1.1mm</w:t>
            </w: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(BCLP)</w:t>
            </w: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P&lt;0.05</w:t>
            </w:r>
          </w:p>
        </w:tc>
        <w:tc>
          <w:tcPr>
            <w:tcW w:w="1053" w:type="dxa"/>
            <w:tcBorders>
              <w:bottom w:val="single" w:sz="12" w:space="0" w:color="008000"/>
            </w:tcBorders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1.1mm  (BCLP)</w:t>
            </w: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P&lt;0.05</w:t>
            </w:r>
          </w:p>
        </w:tc>
        <w:tc>
          <w:tcPr>
            <w:tcW w:w="1134" w:type="dxa"/>
            <w:tcBorders>
              <w:bottom w:val="single" w:sz="12" w:space="0" w:color="008000"/>
            </w:tcBorders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Aumento 1.6mm (UCLP)</w:t>
            </w: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P&lt;0.001</w:t>
            </w:r>
          </w:p>
        </w:tc>
        <w:tc>
          <w:tcPr>
            <w:tcW w:w="851" w:type="dxa"/>
            <w:tcBorders>
              <w:bottom w:val="single" w:sz="12" w:space="0" w:color="008000"/>
            </w:tcBorders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-2mm (UCLP) P&lt;0.01</w:t>
            </w:r>
          </w:p>
        </w:tc>
        <w:tc>
          <w:tcPr>
            <w:tcW w:w="992" w:type="dxa"/>
            <w:tcBorders>
              <w:bottom w:val="single" w:sz="12" w:space="0" w:color="008000"/>
            </w:tcBorders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tcBorders>
              <w:bottom w:val="single" w:sz="12" w:space="0" w:color="008000"/>
            </w:tcBorders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7años </w:t>
            </w:r>
          </w:p>
        </w:tc>
        <w:tc>
          <w:tcPr>
            <w:tcW w:w="851" w:type="dxa"/>
            <w:tcBorders>
              <w:bottom w:val="single" w:sz="12" w:space="0" w:color="008000"/>
            </w:tcBorders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Quad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Helix</w:t>
            </w:r>
            <w:proofErr w:type="spellEnd"/>
          </w:p>
        </w:tc>
        <w:tc>
          <w:tcPr>
            <w:tcW w:w="992" w:type="dxa"/>
            <w:tcBorders>
              <w:bottom w:val="single" w:sz="12" w:space="0" w:color="008000"/>
            </w:tcBorders>
          </w:tcPr>
          <w:p w:rsidR="00C44DD1" w:rsidRPr="00C44DD1" w:rsidRDefault="00C44DD1" w:rsidP="00C44DD1">
            <w:pPr>
              <w:spacing w:line="360" w:lineRule="auto"/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 xml:space="preserve">350g a cada lado/ 15º del plano </w:t>
            </w:r>
            <w:proofErr w:type="spellStart"/>
            <w:r w:rsidRPr="00C44DD1">
              <w:rPr>
                <w:sz w:val="14"/>
                <w:szCs w:val="14"/>
                <w:lang w:val="es-ES" w:eastAsia="es-ES"/>
              </w:rPr>
              <w:t>oclusal</w:t>
            </w:r>
            <w:proofErr w:type="spellEnd"/>
            <w:r w:rsidRPr="00C44DD1">
              <w:rPr>
                <w:sz w:val="14"/>
                <w:szCs w:val="14"/>
                <w:lang w:val="es-ES" w:eastAsia="es-ES"/>
              </w:rPr>
              <w:t xml:space="preserve"> </w:t>
            </w:r>
          </w:p>
        </w:tc>
        <w:tc>
          <w:tcPr>
            <w:tcW w:w="851" w:type="dxa"/>
            <w:tcBorders>
              <w:bottom w:val="single" w:sz="12" w:space="0" w:color="008000"/>
            </w:tcBorders>
          </w:tcPr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</w:p>
          <w:p w:rsidR="00C44DD1" w:rsidRPr="00C44DD1" w:rsidRDefault="00C44DD1" w:rsidP="00C44DD1">
            <w:pPr>
              <w:rPr>
                <w:sz w:val="14"/>
                <w:szCs w:val="14"/>
                <w:lang w:val="es-ES" w:eastAsia="es-ES"/>
              </w:rPr>
            </w:pPr>
            <w:r w:rsidRPr="00C44DD1">
              <w:rPr>
                <w:sz w:val="14"/>
                <w:szCs w:val="14"/>
                <w:lang w:val="es-ES" w:eastAsia="es-ES"/>
              </w:rPr>
              <w:t>11h por 12meses (UCLP) y 15meses (BCLP)</w:t>
            </w:r>
          </w:p>
        </w:tc>
      </w:tr>
    </w:tbl>
    <w:p w:rsidR="00C44DD1" w:rsidRPr="00C44DD1" w:rsidRDefault="00C44DD1" w:rsidP="00C4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9B1A22" w:rsidRPr="00C44DD1" w:rsidRDefault="009B1A22">
      <w:pPr>
        <w:rPr>
          <w:lang w:val="es-ES"/>
        </w:rPr>
      </w:pPr>
    </w:p>
    <w:sectPr w:rsidR="009B1A22" w:rsidRPr="00C44DD1" w:rsidSect="006942BD">
      <w:footerReference w:type="default" r:id="rId4"/>
      <w:pgSz w:w="12240" w:h="15840" w:code="1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263985"/>
      <w:docPartObj>
        <w:docPartGallery w:val="Page Numbers (Bottom of Page)"/>
        <w:docPartUnique/>
      </w:docPartObj>
    </w:sdtPr>
    <w:sdtEndPr/>
    <w:sdtContent>
      <w:p w:rsidR="000D3F55" w:rsidRDefault="00C44DD1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D3F55" w:rsidRDefault="00C44DD1">
    <w:pPr>
      <w:pStyle w:val="Piedep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44DD1"/>
    <w:rsid w:val="009B1A22"/>
    <w:rsid w:val="00C4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A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44DD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44D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bsica1">
    <w:name w:val="Table Simple 1"/>
    <w:basedOn w:val="Tablanormal"/>
    <w:rsid w:val="00C44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VE" w:eastAsia="es-VE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1168</Words>
  <Characters>6425</Characters>
  <Application>Microsoft Office Word</Application>
  <DocSecurity>0</DocSecurity>
  <Lines>53</Lines>
  <Paragraphs>15</Paragraphs>
  <ScaleCrop>false</ScaleCrop>
  <Company>Toshiba</Company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Inrgid Mora</dc:creator>
  <cp:lastModifiedBy>Inrgid Mora</cp:lastModifiedBy>
  <cp:revision>1</cp:revision>
  <dcterms:created xsi:type="dcterms:W3CDTF">2013-08-09T01:15:00Z</dcterms:created>
  <dcterms:modified xsi:type="dcterms:W3CDTF">2013-08-09T01:17:00Z</dcterms:modified>
</cp:coreProperties>
</file>