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FD" w:rsidRDefault="00497E98">
      <w:pPr>
        <w:rPr>
          <w:rFonts w:ascii="Arial" w:hAnsi="Arial" w:cs="Arial"/>
        </w:rPr>
      </w:pPr>
      <w:r w:rsidRPr="00497E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162B" w:rsidRDefault="00E774C9" w:rsidP="00E9162B">
      <w:pPr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2CA9E" wp14:editId="5C63F1A1">
                <wp:simplePos x="0" y="0"/>
                <wp:positionH relativeFrom="column">
                  <wp:posOffset>53340</wp:posOffset>
                </wp:positionH>
                <wp:positionV relativeFrom="paragraph">
                  <wp:posOffset>121920</wp:posOffset>
                </wp:positionV>
                <wp:extent cx="266700" cy="2667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2B" w:rsidRPr="00E9162B" w:rsidRDefault="00E91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16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CA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2pt;margin-top:9.6pt;width:2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" fillcolor="white [3201]" strokeweight=".5pt">
                <v:textbox>
                  <w:txbxContent>
                    <w:p w:rsidR="00E9162B" w:rsidRPr="00E9162B" w:rsidRDefault="00E91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162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916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16363" wp14:editId="235EB80A">
                <wp:simplePos x="0" y="0"/>
                <wp:positionH relativeFrom="column">
                  <wp:posOffset>2948940</wp:posOffset>
                </wp:positionH>
                <wp:positionV relativeFrom="paragraph">
                  <wp:posOffset>121920</wp:posOffset>
                </wp:positionV>
                <wp:extent cx="266700" cy="2667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2B" w:rsidRPr="00E9162B" w:rsidRDefault="00E9162B" w:rsidP="00E916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6363" id="Cuadro de texto 3" o:spid="_x0000_s1027" type="#_x0000_t202" style="position:absolute;left:0;text-align:left;margin-left:232.2pt;margin-top:9.6pt;width:2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" fillcolor="white [3201]" strokeweight=".5pt">
                <v:textbox>
                  <w:txbxContent>
                    <w:p w:rsidR="00E9162B" w:rsidRPr="00E9162B" w:rsidRDefault="00E9162B" w:rsidP="00E916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97E98">
        <w:rPr>
          <w:noProof/>
          <w:lang w:val="en-US"/>
        </w:rPr>
        <w:drawing>
          <wp:inline distT="0" distB="0" distL="0" distR="0" wp14:anchorId="5AEAAE35" wp14:editId="5EBD8D0D">
            <wp:extent cx="5878040" cy="26670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0877" cy="268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52D" w:rsidRPr="00E9162B" w:rsidRDefault="005D152D" w:rsidP="006B7A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t>Figura 1. Áreas de desgaste en mm</w:t>
      </w:r>
      <w:r w:rsidRPr="00D105D1">
        <w:rPr>
          <w:rFonts w:ascii="Arial" w:eastAsia="Times New Roman" w:hAnsi="Arial" w:cs="Arial"/>
          <w:bCs/>
          <w:sz w:val="24"/>
          <w:szCs w:val="24"/>
          <w:vertAlign w:val="superscript"/>
          <w:lang w:eastAsia="es-CO"/>
        </w:rPr>
        <w:t>2</w:t>
      </w:r>
      <w:r w:rsidR="008878EF">
        <w:rPr>
          <w:rFonts w:ascii="Arial" w:eastAsia="Times New Roman" w:hAnsi="Arial" w:cs="Arial"/>
          <w:bCs/>
          <w:sz w:val="24"/>
          <w:szCs w:val="24"/>
          <w:lang w:eastAsia="es-CO"/>
        </w:rPr>
        <w:t>; a) B</w:t>
      </w:r>
      <w:r w:rsidR="00E9162B">
        <w:rPr>
          <w:rFonts w:ascii="Arial" w:eastAsia="Times New Roman" w:hAnsi="Arial" w:cs="Arial"/>
          <w:bCs/>
          <w:sz w:val="24"/>
          <w:szCs w:val="24"/>
          <w:lang w:eastAsia="es-CO"/>
        </w:rPr>
        <w:t>ruxchecker</w:t>
      </w:r>
      <w:r w:rsidR="008878EF" w:rsidRPr="001F77FA">
        <w:rPr>
          <w:rFonts w:ascii="Arial" w:eastAsia="Times New Roman" w:hAnsi="Arial" w:cs="Arial"/>
          <w:sz w:val="24"/>
          <w:szCs w:val="24"/>
          <w:lang w:eastAsia="es-CO"/>
        </w:rPr>
        <w:t>®</w:t>
      </w:r>
      <w:r w:rsidR="00E9162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con marcaciones de bruxismo nocturno; b) marcaciones delimitadas y medidas en milímetros cuadrados</w:t>
      </w:r>
      <w:r w:rsidR="006B7ADA"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:rsidR="005D152D" w:rsidRPr="00D105D1" w:rsidRDefault="005D152D" w:rsidP="00497E98">
      <w:pPr>
        <w:jc w:val="center"/>
        <w:rPr>
          <w:rFonts w:ascii="Arial" w:hAnsi="Arial" w:cs="Arial"/>
        </w:rPr>
      </w:pPr>
    </w:p>
    <w:p w:rsidR="00BF66FD" w:rsidRPr="00D105D1" w:rsidRDefault="00BF66FD">
      <w:pPr>
        <w:spacing w:after="160" w:line="259" w:lineRule="auto"/>
        <w:rPr>
          <w:rFonts w:ascii="Arial" w:hAnsi="Arial" w:cs="Arial"/>
        </w:rPr>
      </w:pPr>
      <w:r w:rsidRPr="00D105D1">
        <w:rPr>
          <w:rFonts w:ascii="Arial" w:hAnsi="Arial" w:cs="Arial"/>
        </w:rPr>
        <w:br w:type="page"/>
      </w:r>
    </w:p>
    <w:p w:rsidR="0054218C" w:rsidRPr="00D105D1" w:rsidRDefault="0054218C" w:rsidP="0054218C">
      <w:pPr>
        <w:spacing w:after="0" w:line="48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lastRenderedPageBreak/>
        <w:t xml:space="preserve">Tabla </w:t>
      </w:r>
      <w:r w:rsidR="00B50C93"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t>1</w:t>
      </w:r>
      <w:r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. Análisis cualitativo del patrón de desgaste en el área de trabajo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1647"/>
        <w:gridCol w:w="1417"/>
        <w:gridCol w:w="1843"/>
        <w:gridCol w:w="2018"/>
      </w:tblGrid>
      <w:tr w:rsidR="0054218C" w:rsidRPr="00D105D1" w:rsidTr="003D1148">
        <w:trPr>
          <w:trHeight w:val="300"/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54218C" w:rsidRPr="00D105D1" w:rsidRDefault="005D152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/>
                <w:bCs/>
                <w:szCs w:val="24"/>
                <w:lang w:eastAsia="es-CO"/>
              </w:rPr>
              <w:t>Guía</w:t>
            </w:r>
            <w:r w:rsidR="0054218C" w:rsidRPr="00D105D1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 </w:t>
            </w:r>
            <w:r w:rsidRPr="00D105D1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 de trabajo</w:t>
            </w:r>
          </w:p>
        </w:tc>
        <w:tc>
          <w:tcPr>
            <w:tcW w:w="69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5D152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Placa</w:t>
            </w:r>
          </w:p>
        </w:tc>
      </w:tr>
      <w:tr w:rsidR="0054218C" w:rsidRPr="00D105D1" w:rsidTr="003D1148">
        <w:trPr>
          <w:trHeight w:val="409"/>
          <w:jc w:val="center"/>
        </w:trPr>
        <w:tc>
          <w:tcPr>
            <w:tcW w:w="1864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4218C" w:rsidRPr="00D105D1" w:rsidRDefault="0054218C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5D152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Blanda</w:t>
            </w:r>
            <w:r w:rsidR="0054218C" w:rsidRPr="00D105D1">
              <w:rPr>
                <w:rFonts w:eastAsia="Times New Roman" w:cs="Arial"/>
                <w:bCs/>
                <w:szCs w:val="24"/>
                <w:lang w:eastAsia="es-CO"/>
              </w:rPr>
              <w:t xml:space="preserve"> (B)</w:t>
            </w:r>
            <w:r w:rsidR="0042758D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5D152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Dura</w:t>
            </w:r>
            <w:r w:rsidR="0054218C" w:rsidRPr="00D105D1">
              <w:rPr>
                <w:rFonts w:eastAsia="Times New Roman" w:cs="Arial"/>
                <w:bCs/>
                <w:szCs w:val="24"/>
                <w:lang w:eastAsia="es-CO"/>
              </w:rPr>
              <w:t xml:space="preserve"> (D)</w:t>
            </w:r>
            <w:r w:rsidR="0042758D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54218C" w:rsidRPr="00D105D1" w:rsidRDefault="005D152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Sin p</w:t>
            </w: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laca</w:t>
            </w:r>
            <w:r w:rsidR="0042758D">
              <w:rPr>
                <w:rFonts w:eastAsia="Times New Roman" w:cs="Arial"/>
                <w:bCs/>
                <w:szCs w:val="24"/>
                <w:lang w:eastAsia="es-CO"/>
              </w:rPr>
              <w:t>(S)*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54218C" w:rsidRPr="00D105D1" w:rsidRDefault="0054218C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Total general</w:t>
            </w:r>
            <w:r w:rsidR="0042758D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</w:tr>
      <w:tr w:rsidR="0054218C" w:rsidRPr="00D105D1" w:rsidTr="003D1148">
        <w:trPr>
          <w:trHeight w:val="300"/>
          <w:jc w:val="center"/>
        </w:trPr>
        <w:tc>
          <w:tcPr>
            <w:tcW w:w="186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54218C" w:rsidP="003D1148">
            <w:pPr>
              <w:spacing w:after="100" w:afterAutospacing="1" w:line="240" w:lineRule="auto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GA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1,48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2,22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3,70</w:t>
            </w:r>
          </w:p>
        </w:tc>
      </w:tr>
      <w:tr w:rsidR="0054218C" w:rsidRPr="00D105D1" w:rsidTr="003D1148">
        <w:trPr>
          <w:trHeight w:val="300"/>
          <w:jc w:val="center"/>
        </w:trPr>
        <w:tc>
          <w:tcPr>
            <w:tcW w:w="1864" w:type="dxa"/>
            <w:shd w:val="clear" w:color="auto" w:fill="FFFFFF" w:themeFill="background1"/>
            <w:noWrap/>
            <w:hideMark/>
          </w:tcPr>
          <w:p w:rsidR="0054218C" w:rsidRPr="00D105D1" w:rsidRDefault="0054218C" w:rsidP="003D1148">
            <w:pPr>
              <w:spacing w:after="100" w:afterAutospacing="1" w:line="240" w:lineRule="auto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GAP</w:t>
            </w:r>
          </w:p>
        </w:tc>
        <w:tc>
          <w:tcPr>
            <w:tcW w:w="1647" w:type="dxa"/>
            <w:shd w:val="clear" w:color="auto" w:fill="FFFFFF" w:themeFill="background1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1,48</w:t>
            </w:r>
          </w:p>
        </w:tc>
        <w:tc>
          <w:tcPr>
            <w:tcW w:w="1417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0,74</w:t>
            </w:r>
          </w:p>
        </w:tc>
        <w:tc>
          <w:tcPr>
            <w:tcW w:w="1843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2,22</w:t>
            </w:r>
          </w:p>
        </w:tc>
        <w:tc>
          <w:tcPr>
            <w:tcW w:w="2018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4,44</w:t>
            </w:r>
          </w:p>
        </w:tc>
      </w:tr>
      <w:tr w:rsidR="0054218C" w:rsidRPr="00D105D1" w:rsidTr="003D1148">
        <w:trPr>
          <w:trHeight w:val="300"/>
          <w:jc w:val="center"/>
        </w:trPr>
        <w:tc>
          <w:tcPr>
            <w:tcW w:w="1864" w:type="dxa"/>
            <w:shd w:val="clear" w:color="auto" w:fill="FFFFFF" w:themeFill="background1"/>
            <w:noWrap/>
            <w:hideMark/>
          </w:tcPr>
          <w:p w:rsidR="0054218C" w:rsidRPr="00D105D1" w:rsidRDefault="0054218C" w:rsidP="003D1148">
            <w:pPr>
              <w:spacing w:after="100" w:afterAutospacing="1" w:line="240" w:lineRule="auto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GAPM</w:t>
            </w:r>
          </w:p>
        </w:tc>
        <w:tc>
          <w:tcPr>
            <w:tcW w:w="1647" w:type="dxa"/>
            <w:shd w:val="clear" w:color="auto" w:fill="FFFFFF" w:themeFill="background1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28,15</w:t>
            </w:r>
          </w:p>
        </w:tc>
        <w:tc>
          <w:tcPr>
            <w:tcW w:w="1417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22,96</w:t>
            </w:r>
          </w:p>
        </w:tc>
        <w:tc>
          <w:tcPr>
            <w:tcW w:w="1843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25,93</w:t>
            </w:r>
          </w:p>
        </w:tc>
        <w:tc>
          <w:tcPr>
            <w:tcW w:w="2018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77,04</w:t>
            </w:r>
          </w:p>
        </w:tc>
      </w:tr>
      <w:tr w:rsidR="0054218C" w:rsidRPr="00D105D1" w:rsidTr="003D1148">
        <w:trPr>
          <w:trHeight w:val="300"/>
          <w:jc w:val="center"/>
        </w:trPr>
        <w:tc>
          <w:tcPr>
            <w:tcW w:w="1864" w:type="dxa"/>
            <w:shd w:val="clear" w:color="auto" w:fill="FFFFFF" w:themeFill="background1"/>
            <w:noWrap/>
            <w:hideMark/>
          </w:tcPr>
          <w:p w:rsidR="0054218C" w:rsidRPr="00D105D1" w:rsidRDefault="0054218C" w:rsidP="003D1148">
            <w:pPr>
              <w:spacing w:after="100" w:afterAutospacing="1" w:line="240" w:lineRule="auto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GM</w:t>
            </w:r>
          </w:p>
        </w:tc>
        <w:tc>
          <w:tcPr>
            <w:tcW w:w="1647" w:type="dxa"/>
            <w:shd w:val="clear" w:color="auto" w:fill="FFFFFF" w:themeFill="background1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2,96</w:t>
            </w:r>
          </w:p>
        </w:tc>
        <w:tc>
          <w:tcPr>
            <w:tcW w:w="1417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5,93</w:t>
            </w:r>
          </w:p>
        </w:tc>
        <w:tc>
          <w:tcPr>
            <w:tcW w:w="1843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2,22</w:t>
            </w:r>
          </w:p>
        </w:tc>
        <w:tc>
          <w:tcPr>
            <w:tcW w:w="2018" w:type="dxa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11,11</w:t>
            </w:r>
          </w:p>
        </w:tc>
      </w:tr>
      <w:tr w:rsidR="0054218C" w:rsidRPr="00D105D1" w:rsidTr="003D1148">
        <w:trPr>
          <w:trHeight w:val="450"/>
          <w:jc w:val="center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54218C" w:rsidP="003D1148">
            <w:pPr>
              <w:spacing w:after="100" w:afterAutospacing="1" w:line="240" w:lineRule="auto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GPM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2,22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0,74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3,70</w:t>
            </w:r>
          </w:p>
        </w:tc>
      </w:tr>
      <w:tr w:rsidR="0054218C" w:rsidRPr="00D105D1" w:rsidTr="003D1148">
        <w:trPr>
          <w:trHeight w:val="300"/>
          <w:jc w:val="center"/>
        </w:trPr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54218C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 xml:space="preserve">Total 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33,33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33,33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33,3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218C" w:rsidRPr="00D105D1" w:rsidRDefault="0042758D" w:rsidP="0054218C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100,00</w:t>
            </w:r>
          </w:p>
        </w:tc>
      </w:tr>
    </w:tbl>
    <w:p w:rsidR="0042758D" w:rsidRDefault="0042758D" w:rsidP="004275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lang w:eastAsia="es-CO"/>
        </w:rPr>
        <w:t>*Valores presentados en porcentajes</w:t>
      </w:r>
    </w:p>
    <w:p w:rsidR="0054218C" w:rsidRDefault="001F3893" w:rsidP="004275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lang w:eastAsia="es-CO"/>
        </w:rPr>
        <w:t>Exacta de Fischer Valor p= 0,</w:t>
      </w:r>
      <w:r w:rsidR="0054218C"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t>364</w:t>
      </w:r>
    </w:p>
    <w:p w:rsidR="0042758D" w:rsidRPr="00D105D1" w:rsidRDefault="0042758D" w:rsidP="008A1CC3">
      <w:pPr>
        <w:spacing w:after="0" w:line="48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BF66FD" w:rsidRPr="00D105D1" w:rsidRDefault="00BF66FD" w:rsidP="00BF66F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4218C" w:rsidRPr="00D105D1" w:rsidRDefault="0054218C">
      <w:pPr>
        <w:spacing w:after="160" w:line="259" w:lineRule="auto"/>
        <w:rPr>
          <w:rFonts w:ascii="Arial" w:hAnsi="Arial" w:cs="Arial"/>
          <w:lang w:val="es-ES"/>
        </w:rPr>
      </w:pPr>
      <w:r w:rsidRPr="00D105D1">
        <w:rPr>
          <w:rFonts w:ascii="Arial" w:hAnsi="Arial" w:cs="Arial"/>
          <w:lang w:val="es-ES"/>
        </w:rPr>
        <w:br w:type="page"/>
      </w:r>
    </w:p>
    <w:p w:rsidR="0054218C" w:rsidRPr="00D105D1" w:rsidRDefault="0054218C">
      <w:pPr>
        <w:spacing w:after="160" w:line="259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4218C" w:rsidRPr="000B52AF" w:rsidRDefault="0054218C" w:rsidP="0054218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0B52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Tabla </w:t>
      </w:r>
      <w:r w:rsidR="00B50C93" w:rsidRPr="000B52AF">
        <w:rPr>
          <w:rFonts w:ascii="Arial" w:eastAsia="Times New Roman" w:hAnsi="Arial" w:cs="Arial"/>
          <w:bCs/>
          <w:sz w:val="24"/>
          <w:szCs w:val="24"/>
          <w:lang w:eastAsia="es-CO"/>
        </w:rPr>
        <w:t>2</w:t>
      </w:r>
      <w:r w:rsidRPr="000B52AF">
        <w:rPr>
          <w:rFonts w:ascii="Arial" w:eastAsia="Times New Roman" w:hAnsi="Arial" w:cs="Arial"/>
          <w:bCs/>
          <w:sz w:val="24"/>
          <w:szCs w:val="24"/>
          <w:lang w:eastAsia="es-CO"/>
        </w:rPr>
        <w:t>. Análisis cualitativo del patrón</w:t>
      </w:r>
      <w:r w:rsidR="00E17C35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de desgaste del área de no trabajo</w:t>
      </w:r>
    </w:p>
    <w:p w:rsidR="0054218C" w:rsidRPr="000B52AF" w:rsidRDefault="0054218C" w:rsidP="0054218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1616"/>
        <w:gridCol w:w="1390"/>
        <w:gridCol w:w="1754"/>
        <w:gridCol w:w="194"/>
        <w:gridCol w:w="1671"/>
      </w:tblGrid>
      <w:tr w:rsidR="0054218C" w:rsidRPr="000B52AF" w:rsidTr="00E01EFA">
        <w:trPr>
          <w:trHeight w:val="443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18C" w:rsidRPr="000B52AF" w:rsidRDefault="00E17C35" w:rsidP="005421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s-CO"/>
              </w:rPr>
              <w:t>Contactos no trabajo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5D152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Placa</w:t>
            </w:r>
          </w:p>
        </w:tc>
      </w:tr>
      <w:tr w:rsidR="0054218C" w:rsidRPr="000B52AF" w:rsidTr="00E01EFA">
        <w:trPr>
          <w:trHeight w:val="434"/>
          <w:jc w:val="center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18C" w:rsidRPr="000B52AF" w:rsidRDefault="0054218C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5D152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Blanda (B)</w:t>
            </w:r>
            <w:r w:rsidR="00E01EFA" w:rsidRP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5D152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Dura (D)</w:t>
            </w:r>
            <w:r w:rsidR="00E01EFA" w:rsidRP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218C" w:rsidRPr="000B52AF" w:rsidRDefault="005D152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Sin placa (S)</w:t>
            </w:r>
            <w:r w:rsidR="00E01EFA" w:rsidRP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E01EFA" w:rsidP="00E01EFA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 xml:space="preserve">Total </w:t>
            </w:r>
            <w:r w:rsidR="0054218C" w:rsidRPr="000B52AF">
              <w:rPr>
                <w:rFonts w:eastAsia="Times New Roman" w:cs="Arial"/>
                <w:bCs/>
                <w:szCs w:val="24"/>
                <w:lang w:eastAsia="es-CO"/>
              </w:rPr>
              <w:t>general</w:t>
            </w: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</w:tr>
      <w:tr w:rsidR="0054218C" w:rsidRPr="000B52AF" w:rsidTr="00E01EFA">
        <w:trPr>
          <w:trHeight w:val="580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54218C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CM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8,15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5,19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E0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 2" w:hAnsi="MS Shell Dlg 2" w:cs="MS Shell Dlg 2"/>
                <w:szCs w:val="24"/>
                <w:lang w:val="en-US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14,81</w:t>
            </w:r>
            <w:r w:rsidR="00E01EFA" w:rsidRPr="000B52AF">
              <w:rPr>
                <w:rFonts w:cs="Arial"/>
                <w:color w:val="FF0000"/>
                <w:szCs w:val="24"/>
                <w:vertAlign w:val="superscript"/>
              </w:rPr>
              <w:t>§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28,15</w:t>
            </w:r>
          </w:p>
        </w:tc>
      </w:tr>
      <w:tr w:rsidR="0054218C" w:rsidRPr="000B52AF" w:rsidTr="00E01EFA">
        <w:trPr>
          <w:trHeight w:val="362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54218C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DM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25,19</w:t>
            </w:r>
            <w:r w:rsidR="000B52AF" w:rsidRPr="000B52AF">
              <w:rPr>
                <w:rFonts w:cs="Arial"/>
                <w:color w:val="FF0000"/>
                <w:szCs w:val="24"/>
                <w:vertAlign w:val="superscript"/>
              </w:rPr>
              <w:t>§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28,15</w:t>
            </w:r>
            <w:r w:rsidR="000B52AF" w:rsidRPr="000B52AF">
              <w:rPr>
                <w:rFonts w:cs="Arial"/>
                <w:color w:val="FF0000"/>
                <w:szCs w:val="24"/>
                <w:vertAlign w:val="superscript"/>
              </w:rPr>
              <w:t>§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18,52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218C" w:rsidRPr="000B52AF" w:rsidRDefault="0042758D" w:rsidP="0054218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0B52AF">
              <w:rPr>
                <w:rFonts w:eastAsia="Times New Roman" w:cs="Arial"/>
                <w:bCs/>
                <w:szCs w:val="24"/>
                <w:lang w:eastAsia="es-CO"/>
              </w:rPr>
              <w:t>71,85</w:t>
            </w:r>
          </w:p>
        </w:tc>
      </w:tr>
    </w:tbl>
    <w:p w:rsidR="00E01EFA" w:rsidRPr="000B52AF" w:rsidRDefault="00E01EFA" w:rsidP="00E01E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0B52AF">
        <w:rPr>
          <w:rFonts w:ascii="Arial" w:eastAsia="Times New Roman" w:hAnsi="Arial" w:cs="Arial"/>
          <w:bCs/>
          <w:sz w:val="24"/>
          <w:szCs w:val="24"/>
          <w:lang w:eastAsia="es-CO"/>
        </w:rPr>
        <w:t>*Valores presentados en porcentajes</w:t>
      </w:r>
    </w:p>
    <w:p w:rsidR="00B50C93" w:rsidRPr="000B52AF" w:rsidRDefault="0054218C" w:rsidP="00E01E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0B52AF">
        <w:rPr>
          <w:rFonts w:ascii="Arial" w:eastAsia="Times New Roman" w:hAnsi="Arial" w:cs="Arial"/>
          <w:bCs/>
          <w:sz w:val="24"/>
          <w:szCs w:val="24"/>
          <w:lang w:eastAsia="es-CO"/>
        </w:rPr>
        <w:t>Chi cuadrado Valor p=</w:t>
      </w:r>
      <w:r w:rsidR="001F3893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>0,</w:t>
      </w:r>
      <w:r w:rsidRPr="000B52AF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 xml:space="preserve">008  </w:t>
      </w:r>
      <w:r w:rsidR="000B52AF" w:rsidRPr="000B52AF">
        <w:rPr>
          <w:rFonts w:ascii="Arial" w:hAnsi="Arial" w:cs="Arial"/>
          <w:color w:val="FF0000"/>
          <w:sz w:val="24"/>
          <w:szCs w:val="24"/>
          <w:vertAlign w:val="superscript"/>
        </w:rPr>
        <w:t>§</w:t>
      </w:r>
      <w:r w:rsidRPr="000B52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Chi cuadrado Valor </w:t>
      </w:r>
      <w:r w:rsidR="001F3893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>p&lt;0,</w:t>
      </w:r>
      <w:r w:rsidRPr="000B52AF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>05</w:t>
      </w:r>
    </w:p>
    <w:p w:rsidR="008A1CC3" w:rsidRPr="00D105D1" w:rsidRDefault="00B50C93" w:rsidP="00E01EFA">
      <w:pPr>
        <w:spacing w:after="16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br w:type="page"/>
      </w:r>
      <w:r w:rsidR="008A1CC3"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lastRenderedPageBreak/>
        <w:t>Tabla 3. Patrón total de desgaste por placa</w:t>
      </w:r>
    </w:p>
    <w:p w:rsidR="008A1CC3" w:rsidRPr="00D105D1" w:rsidRDefault="008A1CC3" w:rsidP="008A1CC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tbl>
      <w:tblPr>
        <w:tblStyle w:val="Tablaconcuadrcula"/>
        <w:tblW w:w="8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688"/>
        <w:gridCol w:w="1471"/>
        <w:gridCol w:w="1872"/>
        <w:gridCol w:w="2140"/>
      </w:tblGrid>
      <w:tr w:rsidR="008A1CC3" w:rsidRPr="00D105D1" w:rsidTr="0042758D">
        <w:trPr>
          <w:trHeight w:val="460"/>
          <w:jc w:val="center"/>
        </w:trPr>
        <w:tc>
          <w:tcPr>
            <w:tcW w:w="117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1CC3" w:rsidRPr="00797CC7" w:rsidRDefault="005D152D" w:rsidP="008A1C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797CC7">
              <w:rPr>
                <w:rFonts w:eastAsia="Times New Roman" w:cs="Arial"/>
                <w:b/>
                <w:bCs/>
                <w:szCs w:val="24"/>
                <w:lang w:eastAsia="es-CO"/>
              </w:rPr>
              <w:t>Guía total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5D152D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Placa</w:t>
            </w:r>
          </w:p>
        </w:tc>
      </w:tr>
      <w:tr w:rsidR="008A1CC3" w:rsidRPr="00D105D1" w:rsidTr="0042758D">
        <w:trPr>
          <w:trHeight w:val="460"/>
          <w:jc w:val="center"/>
        </w:trPr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1CC3" w:rsidRPr="00D105D1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797CC7" w:rsidRDefault="005D152D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797CC7">
              <w:rPr>
                <w:rFonts w:eastAsia="Times New Roman" w:cs="Arial"/>
                <w:bCs/>
                <w:szCs w:val="24"/>
                <w:lang w:eastAsia="es-CO"/>
              </w:rPr>
              <w:t xml:space="preserve">Blanda </w:t>
            </w:r>
            <w:r>
              <w:rPr>
                <w:rFonts w:eastAsia="Times New Roman" w:cs="Arial"/>
                <w:bCs/>
                <w:szCs w:val="24"/>
                <w:lang w:eastAsia="es-CO"/>
              </w:rPr>
              <w:t>(B</w:t>
            </w:r>
            <w:r w:rsidRPr="00797CC7">
              <w:rPr>
                <w:rFonts w:eastAsia="Times New Roman" w:cs="Arial"/>
                <w:bCs/>
                <w:szCs w:val="24"/>
                <w:lang w:eastAsia="es-CO"/>
              </w:rPr>
              <w:t>)</w:t>
            </w:r>
            <w:r w:rsid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797CC7" w:rsidRDefault="005D152D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797CC7">
              <w:rPr>
                <w:rFonts w:eastAsia="Times New Roman" w:cs="Arial"/>
                <w:bCs/>
                <w:szCs w:val="24"/>
                <w:lang w:eastAsia="es-CO"/>
              </w:rPr>
              <w:t xml:space="preserve">Dura </w:t>
            </w:r>
            <w:r>
              <w:rPr>
                <w:rFonts w:eastAsia="Times New Roman" w:cs="Arial"/>
                <w:bCs/>
                <w:szCs w:val="24"/>
                <w:lang w:eastAsia="es-CO"/>
              </w:rPr>
              <w:t>(D</w:t>
            </w:r>
            <w:r w:rsidRPr="00797CC7">
              <w:rPr>
                <w:rFonts w:eastAsia="Times New Roman" w:cs="Arial"/>
                <w:bCs/>
                <w:szCs w:val="24"/>
                <w:lang w:eastAsia="es-CO"/>
              </w:rPr>
              <w:t>)</w:t>
            </w:r>
            <w:r w:rsid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1CC3" w:rsidRPr="00797CC7" w:rsidRDefault="005D152D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797CC7">
              <w:rPr>
                <w:rFonts w:eastAsia="Times New Roman" w:cs="Arial"/>
                <w:bCs/>
                <w:szCs w:val="24"/>
                <w:lang w:eastAsia="es-CO"/>
              </w:rPr>
              <w:t xml:space="preserve">Sin </w:t>
            </w:r>
            <w:r>
              <w:rPr>
                <w:rFonts w:eastAsia="Times New Roman" w:cs="Arial"/>
                <w:bCs/>
                <w:szCs w:val="24"/>
                <w:lang w:eastAsia="es-CO"/>
              </w:rPr>
              <w:t>placa (S</w:t>
            </w:r>
            <w:r w:rsidRPr="00797CC7">
              <w:rPr>
                <w:rFonts w:eastAsia="Times New Roman" w:cs="Arial"/>
                <w:bCs/>
                <w:szCs w:val="24"/>
                <w:lang w:eastAsia="es-CO"/>
              </w:rPr>
              <w:t>)</w:t>
            </w:r>
            <w:r w:rsid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797CC7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797CC7">
              <w:rPr>
                <w:rFonts w:eastAsia="Times New Roman" w:cs="Arial"/>
                <w:bCs/>
                <w:szCs w:val="24"/>
                <w:lang w:eastAsia="es-CO"/>
              </w:rPr>
              <w:t>Total general</w:t>
            </w:r>
            <w:r w:rsidR="000B52AF">
              <w:rPr>
                <w:rFonts w:eastAsia="Times New Roman" w:cs="Arial"/>
                <w:bCs/>
                <w:szCs w:val="24"/>
                <w:lang w:eastAsia="es-CO"/>
              </w:rPr>
              <w:t>*</w:t>
            </w:r>
          </w:p>
        </w:tc>
      </w:tr>
      <w:tr w:rsidR="008A1CC3" w:rsidRPr="00D105D1" w:rsidTr="0042758D">
        <w:trPr>
          <w:trHeight w:val="460"/>
          <w:jc w:val="center"/>
        </w:trPr>
        <w:tc>
          <w:tcPr>
            <w:tcW w:w="11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GACM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1,48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1,48</w:t>
            </w:r>
          </w:p>
        </w:tc>
      </w:tr>
      <w:tr w:rsidR="008A1CC3" w:rsidRPr="00D105D1" w:rsidTr="0042758D">
        <w:trPr>
          <w:trHeight w:val="460"/>
          <w:jc w:val="center"/>
        </w:trPr>
        <w:tc>
          <w:tcPr>
            <w:tcW w:w="11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GADM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0,00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1,48</w:t>
            </w:r>
          </w:p>
        </w:tc>
        <w:tc>
          <w:tcPr>
            <w:tcW w:w="18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2,22</w:t>
            </w:r>
          </w:p>
        </w:tc>
        <w:tc>
          <w:tcPr>
            <w:tcW w:w="2140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3,70</w:t>
            </w:r>
          </w:p>
        </w:tc>
      </w:tr>
      <w:tr w:rsidR="008A1CC3" w:rsidRPr="00D105D1" w:rsidTr="0042758D">
        <w:trPr>
          <w:trHeight w:val="460"/>
          <w:jc w:val="center"/>
        </w:trPr>
        <w:tc>
          <w:tcPr>
            <w:tcW w:w="11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GMCM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7,41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4,44</w:t>
            </w:r>
          </w:p>
        </w:tc>
        <w:tc>
          <w:tcPr>
            <w:tcW w:w="18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9,63</w:t>
            </w:r>
          </w:p>
        </w:tc>
        <w:tc>
          <w:tcPr>
            <w:tcW w:w="2140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21,48</w:t>
            </w:r>
          </w:p>
        </w:tc>
      </w:tr>
      <w:tr w:rsidR="008A1CC3" w:rsidRPr="00D105D1" w:rsidTr="0042758D">
        <w:trPr>
          <w:trHeight w:val="460"/>
          <w:jc w:val="center"/>
        </w:trPr>
        <w:tc>
          <w:tcPr>
            <w:tcW w:w="11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GMDM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24,44</w:t>
            </w:r>
            <w:r w:rsidRPr="00E01EFA">
              <w:rPr>
                <w:rFonts w:cs="Arial"/>
                <w:color w:val="FF0000"/>
                <w:sz w:val="26"/>
                <w:szCs w:val="26"/>
                <w:vertAlign w:val="superscript"/>
              </w:rPr>
              <w:t>§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26,67</w:t>
            </w:r>
            <w:r w:rsidRPr="00E01EFA">
              <w:rPr>
                <w:rFonts w:cs="Arial"/>
                <w:color w:val="FF0000"/>
                <w:sz w:val="26"/>
                <w:szCs w:val="26"/>
                <w:vertAlign w:val="superscript"/>
              </w:rPr>
              <w:t>§</w:t>
            </w:r>
          </w:p>
        </w:tc>
        <w:tc>
          <w:tcPr>
            <w:tcW w:w="18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17,04</w:t>
            </w:r>
          </w:p>
        </w:tc>
        <w:tc>
          <w:tcPr>
            <w:tcW w:w="2140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68,15</w:t>
            </w:r>
          </w:p>
        </w:tc>
      </w:tr>
      <w:tr w:rsidR="008A1CC3" w:rsidRPr="00D105D1" w:rsidTr="0042758D">
        <w:trPr>
          <w:trHeight w:val="460"/>
          <w:jc w:val="center"/>
        </w:trPr>
        <w:tc>
          <w:tcPr>
            <w:tcW w:w="11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GPCM</w:t>
            </w:r>
          </w:p>
        </w:tc>
        <w:tc>
          <w:tcPr>
            <w:tcW w:w="1688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0,74</w:t>
            </w:r>
          </w:p>
        </w:tc>
        <w:tc>
          <w:tcPr>
            <w:tcW w:w="1471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0,74</w:t>
            </w:r>
          </w:p>
        </w:tc>
        <w:tc>
          <w:tcPr>
            <w:tcW w:w="1872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2,96</w:t>
            </w:r>
          </w:p>
        </w:tc>
        <w:tc>
          <w:tcPr>
            <w:tcW w:w="2140" w:type="dxa"/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4,44</w:t>
            </w:r>
          </w:p>
        </w:tc>
      </w:tr>
      <w:tr w:rsidR="008A1CC3" w:rsidRPr="00D105D1" w:rsidTr="0042758D">
        <w:trPr>
          <w:trHeight w:val="460"/>
          <w:jc w:val="center"/>
        </w:trPr>
        <w:tc>
          <w:tcPr>
            <w:tcW w:w="11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8A1CC3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 w:rsidRPr="00D105D1">
              <w:rPr>
                <w:rFonts w:eastAsia="Times New Roman" w:cs="Arial"/>
                <w:bCs/>
                <w:szCs w:val="24"/>
                <w:lang w:eastAsia="es-CO"/>
              </w:rPr>
              <w:t>GPDM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0,74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0,00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CC3" w:rsidRPr="00D105D1" w:rsidRDefault="000B52AF" w:rsidP="008A1CC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Cs/>
                <w:szCs w:val="24"/>
                <w:lang w:eastAsia="es-CO"/>
              </w:rPr>
              <w:t>0,74</w:t>
            </w:r>
          </w:p>
        </w:tc>
      </w:tr>
    </w:tbl>
    <w:p w:rsidR="000B52AF" w:rsidRDefault="000B52AF" w:rsidP="000B52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0B52AF">
        <w:rPr>
          <w:rFonts w:ascii="Arial" w:eastAsia="Times New Roman" w:hAnsi="Arial" w:cs="Arial"/>
          <w:bCs/>
          <w:sz w:val="24"/>
          <w:szCs w:val="24"/>
          <w:lang w:eastAsia="es-CO"/>
        </w:rPr>
        <w:t>*Valores presentados en porcentajes</w:t>
      </w:r>
    </w:p>
    <w:p w:rsidR="008A1CC3" w:rsidRPr="00D105D1" w:rsidRDefault="008A1CC3" w:rsidP="000B52AF">
      <w:pPr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</w:pPr>
      <w:r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Exacta de Fisher Valor p= </w:t>
      </w:r>
      <w:r w:rsidR="001F3893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>0,</w:t>
      </w:r>
      <w:r w:rsidRPr="00D105D1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 xml:space="preserve">039      </w:t>
      </w:r>
      <w:r w:rsidR="000B52AF" w:rsidRPr="00E01EFA">
        <w:rPr>
          <w:rFonts w:ascii="Arial" w:hAnsi="Arial" w:cs="Arial"/>
          <w:color w:val="FF0000"/>
          <w:sz w:val="26"/>
          <w:szCs w:val="26"/>
          <w:vertAlign w:val="superscript"/>
        </w:rPr>
        <w:t>§</w:t>
      </w:r>
      <w:r w:rsidRPr="00D105D1">
        <w:rPr>
          <w:rFonts w:ascii="Arial" w:eastAsia="Times New Roman" w:hAnsi="Arial" w:cs="Arial"/>
          <w:bCs/>
          <w:sz w:val="24"/>
          <w:szCs w:val="24"/>
          <w:lang w:eastAsia="es-CO"/>
        </w:rPr>
        <w:t>Chi cuadrado Valor p&lt;</w:t>
      </w:r>
      <w:r w:rsidR="001F3893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>0,</w:t>
      </w:r>
      <w:r w:rsidRPr="00D105D1">
        <w:rPr>
          <w:rFonts w:ascii="Arial" w:eastAsia="Times New Roman" w:hAnsi="Arial" w:cs="Arial"/>
          <w:bCs/>
          <w:color w:val="FF0000"/>
          <w:sz w:val="24"/>
          <w:szCs w:val="24"/>
          <w:lang w:eastAsia="es-CO"/>
        </w:rPr>
        <w:t>05</w:t>
      </w:r>
    </w:p>
    <w:p w:rsidR="00B50C93" w:rsidRPr="00D105D1" w:rsidRDefault="00B50C93" w:rsidP="000B52AF">
      <w:pPr>
        <w:spacing w:after="160" w:line="240" w:lineRule="auto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B50C93" w:rsidRPr="00D105D1" w:rsidRDefault="00B50C93" w:rsidP="00B50C9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B50C93" w:rsidRPr="00D105D1" w:rsidRDefault="00B50C93" w:rsidP="00B50C9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B50C93" w:rsidRPr="00D105D1" w:rsidRDefault="00B50C93" w:rsidP="00B50C9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4218C" w:rsidRPr="00D105D1" w:rsidRDefault="0054218C" w:rsidP="0054218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4218C" w:rsidRPr="00D105D1" w:rsidRDefault="0054218C" w:rsidP="0054218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D105D1" w:rsidRPr="00D105D1" w:rsidRDefault="00D105D1">
      <w:pPr>
        <w:spacing w:after="160" w:line="259" w:lineRule="auto"/>
        <w:rPr>
          <w:rFonts w:ascii="Arial" w:hAnsi="Arial" w:cs="Arial"/>
        </w:rPr>
      </w:pPr>
      <w:r w:rsidRPr="00D105D1">
        <w:rPr>
          <w:rFonts w:ascii="Arial" w:hAnsi="Arial" w:cs="Arial"/>
        </w:rPr>
        <w:br w:type="page"/>
      </w:r>
    </w:p>
    <w:p w:rsidR="00D105D1" w:rsidRDefault="00E774C9" w:rsidP="00D10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2243455</wp:posOffset>
                </wp:positionV>
                <wp:extent cx="1809750" cy="2190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4C9" w:rsidRPr="00E774C9" w:rsidRDefault="00E774C9" w:rsidP="00E774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E774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 xml:space="preserve">Kruskal Wallis Valor </w:t>
                            </w:r>
                            <w:r w:rsidR="001F38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p=0,</w:t>
                            </w:r>
                            <w:r w:rsidRPr="00E774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12</w:t>
                            </w:r>
                          </w:p>
                          <w:p w:rsidR="00E774C9" w:rsidRPr="00E774C9" w:rsidRDefault="00E774C9" w:rsidP="00E774C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0;text-align:left;margin-left:73.2pt;margin-top:176.65pt;width:142.5pt;height:17.2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" fillcolor="white [3201]" stroked="f" strokeweight=".5pt">
                <v:textbox>
                  <w:txbxContent>
                    <w:p w:rsidR="00E774C9" w:rsidRPr="00E774C9" w:rsidRDefault="00E774C9" w:rsidP="00E774C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E774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 xml:space="preserve">Kruskal Wallis Valor </w:t>
                      </w:r>
                      <w:r w:rsidR="001F38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p=0,</w:t>
                      </w:r>
                      <w:r w:rsidRPr="00E774C9">
                        <w:rPr>
                          <w:rFonts w:ascii="Arial" w:hAnsi="Arial" w:cs="Arial"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12</w:t>
                      </w:r>
                    </w:p>
                    <w:p w:rsidR="00E774C9" w:rsidRPr="00E774C9" w:rsidRDefault="00E774C9" w:rsidP="00E774C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5D1" w:rsidRPr="00D105D1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3372D11" wp14:editId="46C8AE28">
            <wp:extent cx="3810000" cy="2466975"/>
            <wp:effectExtent l="0" t="0" r="0" b="9525"/>
            <wp:docPr id="1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74C9" w:rsidRPr="00D105D1" w:rsidRDefault="00E774C9" w:rsidP="00E774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05D1">
        <w:rPr>
          <w:rFonts w:ascii="Arial" w:hAnsi="Arial" w:cs="Arial"/>
          <w:sz w:val="24"/>
          <w:szCs w:val="24"/>
        </w:rPr>
        <w:t>Figura 2. Mediana de  área por placa en trabajo</w:t>
      </w:r>
    </w:p>
    <w:p w:rsidR="00E774C9" w:rsidRDefault="00E774C9" w:rsidP="00D10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05D1" w:rsidRPr="001F77FA" w:rsidRDefault="00D105D1">
      <w:pPr>
        <w:spacing w:after="160" w:line="259" w:lineRule="auto"/>
        <w:rPr>
          <w:rFonts w:ascii="Arial" w:eastAsiaTheme="minorEastAsia" w:hAnsi="Arial" w:cs="Arial"/>
          <w:color w:val="000000" w:themeColor="text1"/>
          <w:lang w:eastAsia="ja-JP"/>
        </w:rPr>
      </w:pPr>
      <w:r w:rsidRPr="001F77FA">
        <w:rPr>
          <w:rFonts w:ascii="Arial" w:hAnsi="Arial" w:cs="Arial"/>
          <w:color w:val="000000" w:themeColor="text1"/>
        </w:rPr>
        <w:br w:type="page"/>
      </w:r>
    </w:p>
    <w:p w:rsidR="00D105D1" w:rsidRDefault="00AA35D9" w:rsidP="00D105D1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CDDB2" wp14:editId="5281A95D">
                <wp:simplePos x="0" y="0"/>
                <wp:positionH relativeFrom="column">
                  <wp:posOffset>3603625</wp:posOffset>
                </wp:positionH>
                <wp:positionV relativeFrom="paragraph">
                  <wp:posOffset>89696</wp:posOffset>
                </wp:positionV>
                <wp:extent cx="285750" cy="1252291"/>
                <wp:effectExtent l="0" t="83185" r="12065" b="1206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252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C2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283.75pt;margin-top:7.05pt;width:22.5pt;height:98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" adj="411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1E94" wp14:editId="267309C8">
                <wp:simplePos x="0" y="0"/>
                <wp:positionH relativeFrom="column">
                  <wp:posOffset>2067086</wp:posOffset>
                </wp:positionH>
                <wp:positionV relativeFrom="paragraph">
                  <wp:posOffset>82569</wp:posOffset>
                </wp:positionV>
                <wp:extent cx="285750" cy="1252291"/>
                <wp:effectExtent l="0" t="83185" r="12065" b="1206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252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E635" id="Abrir llave 7" o:spid="_x0000_s1026" type="#_x0000_t87" style="position:absolute;margin-left:162.75pt;margin-top:6.5pt;width:22.5pt;height:98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" adj="411" strokecolor="black [3200]" strokeweight=".5pt">
                <v:stroke joinstyle="miter"/>
              </v:shape>
            </w:pict>
          </mc:Fallback>
        </mc:AlternateContent>
      </w:r>
    </w:p>
    <w:p w:rsidR="00AA35D9" w:rsidRDefault="00D105D1" w:rsidP="00D105D1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2EB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AD42113" wp14:editId="6705C997">
            <wp:extent cx="4552950" cy="3186752"/>
            <wp:effectExtent l="0" t="0" r="0" b="13970"/>
            <wp:docPr id="13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1EFA" w:rsidRDefault="00E01EFA" w:rsidP="00E01EFA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1EFA">
        <w:rPr>
          <w:rFonts w:ascii="Arial" w:hAnsi="Arial" w:cs="Arial"/>
          <w:sz w:val="24"/>
          <w:szCs w:val="24"/>
        </w:rPr>
        <w:t xml:space="preserve">Figura 3. </w:t>
      </w:r>
      <w:r w:rsidRPr="00D105D1">
        <w:rPr>
          <w:rFonts w:ascii="Arial" w:hAnsi="Arial" w:cs="Arial"/>
          <w:sz w:val="24"/>
          <w:szCs w:val="24"/>
        </w:rPr>
        <w:t>Medi</w:t>
      </w:r>
      <w:r w:rsidR="001C2636">
        <w:rPr>
          <w:rFonts w:ascii="Arial" w:hAnsi="Arial" w:cs="Arial"/>
          <w:sz w:val="24"/>
          <w:szCs w:val="24"/>
        </w:rPr>
        <w:t>ana de área por placa en no trabajo</w:t>
      </w:r>
    </w:p>
    <w:p w:rsidR="00E01EFA" w:rsidRDefault="00E01EFA" w:rsidP="00D105D1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35D9" w:rsidRDefault="00AA35D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35D9" w:rsidRDefault="00AA35D9" w:rsidP="00AA35D9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AA35D9" w:rsidRDefault="00AA35D9" w:rsidP="00AA35D9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bookmarkStart w:id="0" w:name="_GoBack"/>
      <w:r w:rsidRPr="00FE2EB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759ECFE" wp14:editId="0FE58B37">
            <wp:extent cx="4949687" cy="2822713"/>
            <wp:effectExtent l="0" t="0" r="3810" b="15875"/>
            <wp:docPr id="14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2758D" w:rsidRDefault="0042758D" w:rsidP="0042758D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AA35D9">
        <w:rPr>
          <w:rFonts w:ascii="Arial" w:hAnsi="Arial" w:cs="Arial"/>
          <w:sz w:val="24"/>
          <w:szCs w:val="24"/>
        </w:rPr>
        <w:t xml:space="preserve">Figura 4. </w:t>
      </w:r>
      <w:r w:rsidRPr="00AA35D9">
        <w:rPr>
          <w:rFonts w:ascii="Arial" w:hAnsi="Arial" w:cs="Arial"/>
          <w:bCs/>
          <w:sz w:val="24"/>
          <w:szCs w:val="24"/>
          <w:lang w:val="es-MX"/>
        </w:rPr>
        <w:t>Mediana de área por guía en trabajo</w:t>
      </w:r>
    </w:p>
    <w:p w:rsidR="0042758D" w:rsidRPr="00AA35D9" w:rsidRDefault="0042758D" w:rsidP="00AA35D9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D105D1" w:rsidRPr="00AA35D9" w:rsidRDefault="00D105D1" w:rsidP="00D105D1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AA35D9" w:rsidRDefault="00AA35D9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hAnsi="Arial" w:cs="Arial"/>
        </w:rPr>
        <w:br w:type="page"/>
      </w:r>
    </w:p>
    <w:p w:rsidR="00D105D1" w:rsidRDefault="00797CC7" w:rsidP="00797CC7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FE2EBC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2E6ADC3B" wp14:editId="548F7F13">
            <wp:extent cx="5219700" cy="2752725"/>
            <wp:effectExtent l="0" t="0" r="0" b="9525"/>
            <wp:docPr id="16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BDB" w:rsidRDefault="005F2BDB" w:rsidP="005F2BDB">
      <w:pPr>
        <w:tabs>
          <w:tab w:val="left" w:pos="220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AA35D9">
        <w:rPr>
          <w:rFonts w:ascii="Arial" w:hAnsi="Arial" w:cs="Arial"/>
          <w:sz w:val="24"/>
          <w:szCs w:val="24"/>
        </w:rPr>
        <w:t xml:space="preserve">Figura 5. </w:t>
      </w:r>
      <w:r w:rsidRPr="00AA35D9">
        <w:rPr>
          <w:rFonts w:ascii="Arial" w:hAnsi="Arial" w:cs="Arial"/>
          <w:bCs/>
          <w:sz w:val="24"/>
          <w:szCs w:val="24"/>
          <w:lang w:val="es-MX"/>
        </w:rPr>
        <w:t>Med</w:t>
      </w:r>
      <w:r w:rsidR="004203C8">
        <w:rPr>
          <w:rFonts w:ascii="Arial" w:hAnsi="Arial" w:cs="Arial"/>
          <w:bCs/>
          <w:sz w:val="24"/>
          <w:szCs w:val="24"/>
          <w:lang w:val="es-MX"/>
        </w:rPr>
        <w:t>iana de área por guía en no trabajo</w:t>
      </w:r>
    </w:p>
    <w:p w:rsidR="005F2BDB" w:rsidRPr="005F2BDB" w:rsidRDefault="005F2BDB" w:rsidP="00797CC7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D105D1" w:rsidRPr="00D105D1" w:rsidRDefault="00D105D1" w:rsidP="00D10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33CB" w:rsidRPr="00D105D1" w:rsidRDefault="000233CB">
      <w:pPr>
        <w:rPr>
          <w:rFonts w:ascii="Arial" w:hAnsi="Arial" w:cs="Arial"/>
        </w:rPr>
      </w:pPr>
    </w:p>
    <w:sectPr w:rsidR="000233CB" w:rsidRPr="00D10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5A" w:rsidRDefault="0018755A" w:rsidP="00D105D1">
      <w:pPr>
        <w:spacing w:after="0" w:line="240" w:lineRule="auto"/>
      </w:pPr>
      <w:r>
        <w:separator/>
      </w:r>
    </w:p>
  </w:endnote>
  <w:endnote w:type="continuationSeparator" w:id="0">
    <w:p w:rsidR="0018755A" w:rsidRDefault="0018755A" w:rsidP="00D1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5A" w:rsidRDefault="0018755A" w:rsidP="00D105D1">
      <w:pPr>
        <w:spacing w:after="0" w:line="240" w:lineRule="auto"/>
      </w:pPr>
      <w:r>
        <w:separator/>
      </w:r>
    </w:p>
  </w:footnote>
  <w:footnote w:type="continuationSeparator" w:id="0">
    <w:p w:rsidR="0018755A" w:rsidRDefault="0018755A" w:rsidP="00D1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CB"/>
    <w:rsid w:val="000233CB"/>
    <w:rsid w:val="000875F2"/>
    <w:rsid w:val="000B52AF"/>
    <w:rsid w:val="00160E67"/>
    <w:rsid w:val="0018755A"/>
    <w:rsid w:val="001C2636"/>
    <w:rsid w:val="001F3893"/>
    <w:rsid w:val="001F77FA"/>
    <w:rsid w:val="00253437"/>
    <w:rsid w:val="003D1148"/>
    <w:rsid w:val="004203C8"/>
    <w:rsid w:val="0042758D"/>
    <w:rsid w:val="00497E98"/>
    <w:rsid w:val="004F0D74"/>
    <w:rsid w:val="0054218C"/>
    <w:rsid w:val="005D152D"/>
    <w:rsid w:val="005F2BDB"/>
    <w:rsid w:val="006259FF"/>
    <w:rsid w:val="006B2F6F"/>
    <w:rsid w:val="006B7ADA"/>
    <w:rsid w:val="00704F52"/>
    <w:rsid w:val="00797CC7"/>
    <w:rsid w:val="007A4FB0"/>
    <w:rsid w:val="008878EF"/>
    <w:rsid w:val="008A1CC3"/>
    <w:rsid w:val="008E46C9"/>
    <w:rsid w:val="00920F2D"/>
    <w:rsid w:val="00AA35D9"/>
    <w:rsid w:val="00B50C93"/>
    <w:rsid w:val="00B9616A"/>
    <w:rsid w:val="00BA0CB5"/>
    <w:rsid w:val="00BF6685"/>
    <w:rsid w:val="00BF66FD"/>
    <w:rsid w:val="00C22D29"/>
    <w:rsid w:val="00D105D1"/>
    <w:rsid w:val="00DA03CA"/>
    <w:rsid w:val="00DA4409"/>
    <w:rsid w:val="00E01EFA"/>
    <w:rsid w:val="00E17C35"/>
    <w:rsid w:val="00E774C9"/>
    <w:rsid w:val="00E9162B"/>
    <w:rsid w:val="00E9281A"/>
    <w:rsid w:val="00F05EFE"/>
    <w:rsid w:val="00F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2A7BF8-271A-4B4B-8301-A07C0907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3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table" w:styleId="Tablaconcuadrcula">
    <w:name w:val="Table Grid"/>
    <w:basedOn w:val="Tablanormal"/>
    <w:uiPriority w:val="59"/>
    <w:rsid w:val="00BF66FD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0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5D1"/>
  </w:style>
  <w:style w:type="paragraph" w:styleId="Piedepgina">
    <w:name w:val="footer"/>
    <w:basedOn w:val="Normal"/>
    <w:link w:val="PiedepginaCar"/>
    <w:uiPriority w:val="99"/>
    <w:unhideWhenUsed/>
    <w:rsid w:val="00D10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LO%20ANDRADE\Documents\Melo%20Andrade\trabajo%20de%20grado\Noviembre%202012\Copia%20de%20resultados%20finales%20nuevo%20ardila%20cualitativa-cuantitativa%20nov%2021-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LO%20ANDRADE\Documents\Melo%20Andrade\trabajo%20de%20grado\Noviembre%202012\Copia%20de%20resultados%20finales%20nuevo%20ardila%20cualitativa-cuantitativa%20nov%2021-1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MELO%20ANDRADE\Documents\Melo%20Andrade\trabajo%20de%20grado\Noviembre%202012\Copia%20de%20resultados%20finales%20nuevo%20ardila%20cualitativa-cuantitativa%20nov%2021-1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LO%20ANDRADE\Documents\Melo%20Andrade\trabajo%20de%20grado\Noviembre%202012\Copia%20de%20resultados%20finales%20nuevo%20ardila%20cualitativa-cuantitativa%20nov%2021-12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pattFill prst="zigZ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0"/>
                  <c:y val="-3.755867927516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0865932930648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3.755867927516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CO"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RESULTADOS!$B$56:$B$58</c:f>
              <c:strCache>
                <c:ptCount val="3"/>
                <c:pt idx="0">
                  <c:v>BLANDA</c:v>
                </c:pt>
                <c:pt idx="1">
                  <c:v>DURA</c:v>
                </c:pt>
                <c:pt idx="2">
                  <c:v>SIN PLACA</c:v>
                </c:pt>
              </c:strCache>
            </c:strRef>
          </c:cat>
          <c:val>
            <c:numRef>
              <c:f>RESULTADOS!$E$56:$E$58</c:f>
              <c:numCache>
                <c:formatCode>General</c:formatCode>
                <c:ptCount val="3"/>
                <c:pt idx="0">
                  <c:v>4.5</c:v>
                </c:pt>
                <c:pt idx="1">
                  <c:v>6.25</c:v>
                </c:pt>
                <c:pt idx="2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416232"/>
        <c:axId val="279417016"/>
        <c:axId val="0"/>
      </c:bar3DChart>
      <c:catAx>
        <c:axId val="279416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CO" sz="11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100" b="0">
                    <a:latin typeface="Arial" panose="020B0604020202020204" pitchFamily="34" charset="0"/>
                    <a:cs typeface="Arial" panose="020B0604020202020204" pitchFamily="34" charset="0"/>
                  </a:rPr>
                  <a:t>Placa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s-CO" sz="11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CO" sz="1000" b="0" i="0" u="none" strike="noStrike" kern="1200" cap="small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79417016"/>
        <c:crosses val="autoZero"/>
        <c:auto val="1"/>
        <c:lblAlgn val="ctr"/>
        <c:lblOffset val="100"/>
        <c:noMultiLvlLbl val="0"/>
      </c:catAx>
      <c:valAx>
        <c:axId val="2794170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s-CO" sz="12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r>
                  <a:rPr lang="en-US" sz="1200" b="0">
                    <a:latin typeface="Arial" pitchFamily="34" charset="0"/>
                    <a:cs typeface="Arial" pitchFamily="34" charset="0"/>
                  </a:rPr>
                  <a:t>Área mm</a:t>
                </a:r>
                <a:r>
                  <a:rPr lang="en-US" sz="1200" b="0" baseline="30000">
                    <a:latin typeface="Arial" pitchFamily="34" charset="0"/>
                    <a:cs typeface="Arial" pitchFamily="34" charset="0"/>
                  </a:rPr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s-CO" sz="1200" b="0" i="0" u="none" strike="noStrike" kern="1200" baseline="0">
                  <a:solidFill>
                    <a:schemeClr val="tx1"/>
                  </a:solidFill>
                  <a:latin typeface="Arial" pitchFamily="34" charset="0"/>
                  <a:ea typeface="+mn-ea"/>
                  <a:cs typeface="Arial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CO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416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60833086240789"/>
          <c:y val="0.19529693104822637"/>
          <c:w val="0.83254988523924045"/>
          <c:h val="0.6005909434696509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pattFill prst="zigZ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1.6736401673640166E-2"/>
                  <c:y val="-3.755864713801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947001394700139E-2"/>
                  <c:y val="-2.086598481686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736401673640166E-2"/>
                  <c:y val="-3.755864713801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CO" sz="10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RESULTADOS!$B$56:$B$58</c:f>
              <c:strCache>
                <c:ptCount val="3"/>
                <c:pt idx="0">
                  <c:v>BLANDA</c:v>
                </c:pt>
                <c:pt idx="1">
                  <c:v>DURA</c:v>
                </c:pt>
                <c:pt idx="2">
                  <c:v>SIN PLACA</c:v>
                </c:pt>
              </c:strCache>
            </c:strRef>
          </c:cat>
          <c:val>
            <c:numRef>
              <c:f>RESULTADOS!$F$56:$F$58</c:f>
              <c:numCache>
                <c:formatCode>General</c:formatCode>
                <c:ptCount val="3"/>
                <c:pt idx="0">
                  <c:v>6.5</c:v>
                </c:pt>
                <c:pt idx="1">
                  <c:v>9.25</c:v>
                </c:pt>
                <c:pt idx="2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417800"/>
        <c:axId val="227822000"/>
        <c:axId val="0"/>
      </c:bar3DChart>
      <c:catAx>
        <c:axId val="279417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CO" sz="1000" b="1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r>
                  <a:rPr lang="en-US"/>
                  <a:t>Placa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s-CO" sz="1000" b="1" i="0" u="none" strike="noStrike" kern="1200" baseline="0">
                  <a:solidFill>
                    <a:schemeClr val="tx1"/>
                  </a:solidFill>
                  <a:latin typeface="Arial" pitchFamily="34" charset="0"/>
                  <a:ea typeface="+mn-ea"/>
                  <a:cs typeface="Arial" pitchFamily="34" charset="0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CO" sz="10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en-US"/>
          </a:p>
        </c:txPr>
        <c:crossAx val="227822000"/>
        <c:crosses val="autoZero"/>
        <c:auto val="1"/>
        <c:lblAlgn val="ctr"/>
        <c:lblOffset val="100"/>
        <c:noMultiLvlLbl val="0"/>
      </c:catAx>
      <c:valAx>
        <c:axId val="227822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s-CO" sz="12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r>
                  <a:rPr lang="en-US" sz="1200" b="0"/>
                  <a:t>Área mm</a:t>
                </a:r>
                <a:r>
                  <a:rPr lang="en-US" sz="1200" b="0" baseline="30000"/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s-CO" sz="1200" b="0" i="0" u="none" strike="noStrike" kern="1200" baseline="0">
                  <a:solidFill>
                    <a:schemeClr val="tx1"/>
                  </a:solidFill>
                  <a:latin typeface="Arial" pitchFamily="34" charset="0"/>
                  <a:ea typeface="+mn-ea"/>
                  <a:cs typeface="Arial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CO" sz="10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en-US"/>
          </a:p>
        </c:txPr>
        <c:crossAx val="279417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49404245947319"/>
          <c:y val="5.271321399785657E-2"/>
          <c:w val="0.84203170452068965"/>
          <c:h val="0.84906735532656452"/>
        </c:manualLayout>
      </c:layout>
      <c:scatterChart>
        <c:scatterStyle val="lineMarker"/>
        <c:varyColors val="0"/>
        <c:ser>
          <c:idx val="0"/>
          <c:order val="0"/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9.7796981153529097E-2"/>
                  <c:y val="-0.120042872454448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.10633161829500554"/>
                  <c:y val="-9.2898532377986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'Boxplot Parameters XYZZ'!$S$2:$S$43</c:f>
              <c:numCache>
                <c:formatCode>General</c:formatCode>
                <c:ptCount val="42"/>
                <c:pt idx="0">
                  <c:v>0.2</c:v>
                </c:pt>
                <c:pt idx="1">
                  <c:v>0.2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0.8</c:v>
                </c:pt>
                <c:pt idx="6">
                  <c:v>0.8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0.2</c:v>
                </c:pt>
                <c:pt idx="11">
                  <c:v>0.2</c:v>
                </c:pt>
                <c:pt idx="12">
                  <c:v>0.8</c:v>
                </c:pt>
                <c:pt idx="13">
                  <c:v>0.8</c:v>
                </c:pt>
                <c:pt idx="14">
                  <c:v>1.2</c:v>
                </c:pt>
                <c:pt idx="15">
                  <c:v>1.2</c:v>
                </c:pt>
                <c:pt idx="16">
                  <c:v>1.5</c:v>
                </c:pt>
                <c:pt idx="17">
                  <c:v>1.5</c:v>
                </c:pt>
                <c:pt idx="18">
                  <c:v>1.5</c:v>
                </c:pt>
                <c:pt idx="19">
                  <c:v>1.8</c:v>
                </c:pt>
                <c:pt idx="20">
                  <c:v>1.8</c:v>
                </c:pt>
                <c:pt idx="21">
                  <c:v>1.5</c:v>
                </c:pt>
                <c:pt idx="22">
                  <c:v>1.5</c:v>
                </c:pt>
                <c:pt idx="23">
                  <c:v>1.5</c:v>
                </c:pt>
                <c:pt idx="24">
                  <c:v>1.2</c:v>
                </c:pt>
                <c:pt idx="25">
                  <c:v>1.2</c:v>
                </c:pt>
                <c:pt idx="26">
                  <c:v>1.8</c:v>
                </c:pt>
                <c:pt idx="27">
                  <c:v>1.8</c:v>
                </c:pt>
                <c:pt idx="28">
                  <c:v>2.2000000000000002</c:v>
                </c:pt>
                <c:pt idx="29">
                  <c:v>2.2000000000000002</c:v>
                </c:pt>
                <c:pt idx="30">
                  <c:v>2.5</c:v>
                </c:pt>
                <c:pt idx="31">
                  <c:v>2.5</c:v>
                </c:pt>
                <c:pt idx="32">
                  <c:v>2.5</c:v>
                </c:pt>
                <c:pt idx="33">
                  <c:v>2.8</c:v>
                </c:pt>
                <c:pt idx="34">
                  <c:v>2.8</c:v>
                </c:pt>
                <c:pt idx="35">
                  <c:v>2.5</c:v>
                </c:pt>
                <c:pt idx="36">
                  <c:v>2.5</c:v>
                </c:pt>
                <c:pt idx="37">
                  <c:v>2.5</c:v>
                </c:pt>
                <c:pt idx="38">
                  <c:v>2.2000000000000002</c:v>
                </c:pt>
                <c:pt idx="39">
                  <c:v>2.2000000000000002</c:v>
                </c:pt>
                <c:pt idx="40">
                  <c:v>2.8</c:v>
                </c:pt>
                <c:pt idx="41">
                  <c:v>2.8</c:v>
                </c:pt>
              </c:numCache>
            </c:numRef>
          </c:xVal>
          <c:yVal>
            <c:numRef>
              <c:f>'Boxplot Parameters XYZZ'!$T$2:$T$43</c:f>
              <c:numCache>
                <c:formatCode>General</c:formatCode>
                <c:ptCount val="42"/>
                <c:pt idx="0">
                  <c:v>8.4625000000000039</c:v>
                </c:pt>
                <c:pt idx="1">
                  <c:v>3.4000000000000004</c:v>
                </c:pt>
                <c:pt idx="2">
                  <c:v>3.4000000000000004</c:v>
                </c:pt>
                <c:pt idx="3">
                  <c:v>0.70000000000000018</c:v>
                </c:pt>
                <c:pt idx="4">
                  <c:v>3.4000000000000004</c:v>
                </c:pt>
                <c:pt idx="5">
                  <c:v>3.4000000000000004</c:v>
                </c:pt>
                <c:pt idx="6">
                  <c:v>19.8</c:v>
                </c:pt>
                <c:pt idx="7">
                  <c:v>19.8</c:v>
                </c:pt>
                <c:pt idx="8">
                  <c:v>38.5</c:v>
                </c:pt>
                <c:pt idx="9">
                  <c:v>19.8</c:v>
                </c:pt>
                <c:pt idx="10">
                  <c:v>19.8</c:v>
                </c:pt>
                <c:pt idx="11">
                  <c:v>8.4625000000000039</c:v>
                </c:pt>
                <c:pt idx="12">
                  <c:v>8.4625000000000039</c:v>
                </c:pt>
                <c:pt idx="13">
                  <c:v>8.4625000000000039</c:v>
                </c:pt>
                <c:pt idx="14">
                  <c:v>5</c:v>
                </c:pt>
                <c:pt idx="15">
                  <c:v>2.4499999999999997</c:v>
                </c:pt>
                <c:pt idx="16">
                  <c:v>2.4499999999999997</c:v>
                </c:pt>
                <c:pt idx="17">
                  <c:v>0.1</c:v>
                </c:pt>
                <c:pt idx="18">
                  <c:v>2.4499999999999997</c:v>
                </c:pt>
                <c:pt idx="19">
                  <c:v>2.4499999999999997</c:v>
                </c:pt>
                <c:pt idx="20">
                  <c:v>13.9</c:v>
                </c:pt>
                <c:pt idx="21">
                  <c:v>13.9</c:v>
                </c:pt>
                <c:pt idx="22">
                  <c:v>27.5</c:v>
                </c:pt>
                <c:pt idx="23">
                  <c:v>13.9</c:v>
                </c:pt>
                <c:pt idx="24">
                  <c:v>13.9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3.3</c:v>
                </c:pt>
                <c:pt idx="29">
                  <c:v>2</c:v>
                </c:pt>
                <c:pt idx="30">
                  <c:v>2</c:v>
                </c:pt>
                <c:pt idx="31">
                  <c:v>0.1</c:v>
                </c:pt>
                <c:pt idx="32">
                  <c:v>2</c:v>
                </c:pt>
                <c:pt idx="33">
                  <c:v>2</c:v>
                </c:pt>
                <c:pt idx="34">
                  <c:v>5.6</c:v>
                </c:pt>
                <c:pt idx="35">
                  <c:v>5.6</c:v>
                </c:pt>
                <c:pt idx="36">
                  <c:v>11</c:v>
                </c:pt>
                <c:pt idx="37">
                  <c:v>5.6</c:v>
                </c:pt>
                <c:pt idx="38">
                  <c:v>5.6</c:v>
                </c:pt>
                <c:pt idx="39">
                  <c:v>3.3</c:v>
                </c:pt>
                <c:pt idx="40">
                  <c:v>3.3</c:v>
                </c:pt>
                <c:pt idx="41">
                  <c:v>3.3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'Boxplot Parameters XYZZ'!$O$2:$O$370</c:f>
              <c:numCache>
                <c:formatCode>General</c:formatCode>
                <c:ptCount val="36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1.5</c:v>
                </c:pt>
                <c:pt idx="124">
                  <c:v>1.5</c:v>
                </c:pt>
                <c:pt idx="125">
                  <c:v>1.5</c:v>
                </c:pt>
                <c:pt idx="126">
                  <c:v>1.5</c:v>
                </c:pt>
                <c:pt idx="127">
                  <c:v>1.5</c:v>
                </c:pt>
                <c:pt idx="128">
                  <c:v>1.5</c:v>
                </c:pt>
                <c:pt idx="129">
                  <c:v>1.5</c:v>
                </c:pt>
                <c:pt idx="130">
                  <c:v>1.5</c:v>
                </c:pt>
                <c:pt idx="131">
                  <c:v>1.5</c:v>
                </c:pt>
                <c:pt idx="132">
                  <c:v>1.5</c:v>
                </c:pt>
                <c:pt idx="133">
                  <c:v>1.5</c:v>
                </c:pt>
                <c:pt idx="134">
                  <c:v>1.5</c:v>
                </c:pt>
                <c:pt idx="135">
                  <c:v>1.5</c:v>
                </c:pt>
                <c:pt idx="136">
                  <c:v>1.5</c:v>
                </c:pt>
                <c:pt idx="137">
                  <c:v>1.5</c:v>
                </c:pt>
                <c:pt idx="138">
                  <c:v>1.5</c:v>
                </c:pt>
                <c:pt idx="139">
                  <c:v>1.5</c:v>
                </c:pt>
                <c:pt idx="140">
                  <c:v>1.5</c:v>
                </c:pt>
                <c:pt idx="141">
                  <c:v>1.5</c:v>
                </c:pt>
                <c:pt idx="142">
                  <c:v>1.5</c:v>
                </c:pt>
                <c:pt idx="143">
                  <c:v>1.5</c:v>
                </c:pt>
                <c:pt idx="144">
                  <c:v>1.5</c:v>
                </c:pt>
                <c:pt idx="145">
                  <c:v>1.5</c:v>
                </c:pt>
                <c:pt idx="146">
                  <c:v>1.5</c:v>
                </c:pt>
                <c:pt idx="147">
                  <c:v>1.5</c:v>
                </c:pt>
                <c:pt idx="148">
                  <c:v>1.5</c:v>
                </c:pt>
                <c:pt idx="149">
                  <c:v>1.5</c:v>
                </c:pt>
                <c:pt idx="150">
                  <c:v>1.5</c:v>
                </c:pt>
                <c:pt idx="151">
                  <c:v>1.5</c:v>
                </c:pt>
                <c:pt idx="152">
                  <c:v>1.5</c:v>
                </c:pt>
                <c:pt idx="153">
                  <c:v>1.5</c:v>
                </c:pt>
                <c:pt idx="154">
                  <c:v>1.5</c:v>
                </c:pt>
                <c:pt idx="155">
                  <c:v>1.5</c:v>
                </c:pt>
                <c:pt idx="156">
                  <c:v>1.5</c:v>
                </c:pt>
                <c:pt idx="157">
                  <c:v>1.5</c:v>
                </c:pt>
                <c:pt idx="158">
                  <c:v>1.5</c:v>
                </c:pt>
                <c:pt idx="159">
                  <c:v>1.5</c:v>
                </c:pt>
                <c:pt idx="160">
                  <c:v>1.5</c:v>
                </c:pt>
                <c:pt idx="161">
                  <c:v>1.5</c:v>
                </c:pt>
                <c:pt idx="162">
                  <c:v>1.5</c:v>
                </c:pt>
                <c:pt idx="163">
                  <c:v>1.5</c:v>
                </c:pt>
                <c:pt idx="164">
                  <c:v>1.5</c:v>
                </c:pt>
                <c:pt idx="165">
                  <c:v>1.5</c:v>
                </c:pt>
                <c:pt idx="166">
                  <c:v>1.5</c:v>
                </c:pt>
                <c:pt idx="167">
                  <c:v>1.5</c:v>
                </c:pt>
                <c:pt idx="168">
                  <c:v>1.5</c:v>
                </c:pt>
                <c:pt idx="169">
                  <c:v>1.5</c:v>
                </c:pt>
                <c:pt idx="170">
                  <c:v>1.5</c:v>
                </c:pt>
                <c:pt idx="171">
                  <c:v>1.5</c:v>
                </c:pt>
                <c:pt idx="172">
                  <c:v>1.5</c:v>
                </c:pt>
                <c:pt idx="173">
                  <c:v>1.5</c:v>
                </c:pt>
                <c:pt idx="174">
                  <c:v>1.5</c:v>
                </c:pt>
                <c:pt idx="175">
                  <c:v>1.5</c:v>
                </c:pt>
                <c:pt idx="176">
                  <c:v>1.5</c:v>
                </c:pt>
                <c:pt idx="177">
                  <c:v>1.5</c:v>
                </c:pt>
                <c:pt idx="178">
                  <c:v>1.5</c:v>
                </c:pt>
                <c:pt idx="179">
                  <c:v>1.5</c:v>
                </c:pt>
                <c:pt idx="180">
                  <c:v>1.5</c:v>
                </c:pt>
                <c:pt idx="181">
                  <c:v>1.5</c:v>
                </c:pt>
                <c:pt idx="182">
                  <c:v>1.5</c:v>
                </c:pt>
                <c:pt idx="183">
                  <c:v>1.5</c:v>
                </c:pt>
                <c:pt idx="184">
                  <c:v>1.5</c:v>
                </c:pt>
                <c:pt idx="185">
                  <c:v>1.5</c:v>
                </c:pt>
                <c:pt idx="186">
                  <c:v>1.5</c:v>
                </c:pt>
                <c:pt idx="187">
                  <c:v>1.5</c:v>
                </c:pt>
                <c:pt idx="188">
                  <c:v>1.5</c:v>
                </c:pt>
                <c:pt idx="189">
                  <c:v>1.5</c:v>
                </c:pt>
                <c:pt idx="190">
                  <c:v>1.5</c:v>
                </c:pt>
                <c:pt idx="191">
                  <c:v>1.5</c:v>
                </c:pt>
                <c:pt idx="192">
                  <c:v>1.5</c:v>
                </c:pt>
                <c:pt idx="193">
                  <c:v>1.5</c:v>
                </c:pt>
                <c:pt idx="194">
                  <c:v>1.5</c:v>
                </c:pt>
                <c:pt idx="195">
                  <c:v>1.5</c:v>
                </c:pt>
                <c:pt idx="196">
                  <c:v>1.5</c:v>
                </c:pt>
                <c:pt idx="197">
                  <c:v>1.5</c:v>
                </c:pt>
                <c:pt idx="198">
                  <c:v>1.5</c:v>
                </c:pt>
                <c:pt idx="199">
                  <c:v>1.5</c:v>
                </c:pt>
                <c:pt idx="200">
                  <c:v>1.5</c:v>
                </c:pt>
                <c:pt idx="201">
                  <c:v>1.5</c:v>
                </c:pt>
                <c:pt idx="202">
                  <c:v>1.5</c:v>
                </c:pt>
                <c:pt idx="203">
                  <c:v>1.5</c:v>
                </c:pt>
                <c:pt idx="204">
                  <c:v>1.5</c:v>
                </c:pt>
                <c:pt idx="205">
                  <c:v>1.5</c:v>
                </c:pt>
                <c:pt idx="206">
                  <c:v>1.5</c:v>
                </c:pt>
                <c:pt idx="207">
                  <c:v>1.5</c:v>
                </c:pt>
                <c:pt idx="208">
                  <c:v>1.5</c:v>
                </c:pt>
                <c:pt idx="209">
                  <c:v>1.5</c:v>
                </c:pt>
                <c:pt idx="210">
                  <c:v>1.5</c:v>
                </c:pt>
                <c:pt idx="211">
                  <c:v>1.5</c:v>
                </c:pt>
                <c:pt idx="212">
                  <c:v>1.5</c:v>
                </c:pt>
                <c:pt idx="213">
                  <c:v>1.5</c:v>
                </c:pt>
                <c:pt idx="214">
                  <c:v>1.5</c:v>
                </c:pt>
                <c:pt idx="215">
                  <c:v>1.5</c:v>
                </c:pt>
                <c:pt idx="216">
                  <c:v>1.5</c:v>
                </c:pt>
                <c:pt idx="217">
                  <c:v>1.5</c:v>
                </c:pt>
                <c:pt idx="218">
                  <c:v>1.5</c:v>
                </c:pt>
                <c:pt idx="219">
                  <c:v>1.5</c:v>
                </c:pt>
                <c:pt idx="220">
                  <c:v>1.5</c:v>
                </c:pt>
                <c:pt idx="221">
                  <c:v>1.5</c:v>
                </c:pt>
                <c:pt idx="222">
                  <c:v>1.5</c:v>
                </c:pt>
                <c:pt idx="223">
                  <c:v>1.5</c:v>
                </c:pt>
                <c:pt idx="224">
                  <c:v>1.5</c:v>
                </c:pt>
                <c:pt idx="225">
                  <c:v>1.5</c:v>
                </c:pt>
                <c:pt idx="226">
                  <c:v>1.5</c:v>
                </c:pt>
                <c:pt idx="227">
                  <c:v>1.5</c:v>
                </c:pt>
                <c:pt idx="228">
                  <c:v>1.5</c:v>
                </c:pt>
                <c:pt idx="229">
                  <c:v>1.5</c:v>
                </c:pt>
                <c:pt idx="230">
                  <c:v>1.5</c:v>
                </c:pt>
                <c:pt idx="231">
                  <c:v>1.5</c:v>
                </c:pt>
                <c:pt idx="232">
                  <c:v>1.5</c:v>
                </c:pt>
                <c:pt idx="233">
                  <c:v>1.5</c:v>
                </c:pt>
                <c:pt idx="234">
                  <c:v>1.5</c:v>
                </c:pt>
                <c:pt idx="235">
                  <c:v>1.5</c:v>
                </c:pt>
                <c:pt idx="236">
                  <c:v>1.5</c:v>
                </c:pt>
                <c:pt idx="237">
                  <c:v>1.5</c:v>
                </c:pt>
                <c:pt idx="238">
                  <c:v>1.5</c:v>
                </c:pt>
                <c:pt idx="239">
                  <c:v>1.5</c:v>
                </c:pt>
                <c:pt idx="240">
                  <c:v>1.5</c:v>
                </c:pt>
                <c:pt idx="241">
                  <c:v>1.5</c:v>
                </c:pt>
                <c:pt idx="242">
                  <c:v>1.5</c:v>
                </c:pt>
                <c:pt idx="243">
                  <c:v>1.5</c:v>
                </c:pt>
                <c:pt idx="244">
                  <c:v>1.5</c:v>
                </c:pt>
                <c:pt idx="245">
                  <c:v>1.5</c:v>
                </c:pt>
                <c:pt idx="246">
                  <c:v>2.5</c:v>
                </c:pt>
                <c:pt idx="247">
                  <c:v>2.5</c:v>
                </c:pt>
                <c:pt idx="248">
                  <c:v>2.5</c:v>
                </c:pt>
                <c:pt idx="249">
                  <c:v>2.5</c:v>
                </c:pt>
                <c:pt idx="250">
                  <c:v>2.5</c:v>
                </c:pt>
                <c:pt idx="251">
                  <c:v>2.5</c:v>
                </c:pt>
                <c:pt idx="252">
                  <c:v>2.5</c:v>
                </c:pt>
                <c:pt idx="253">
                  <c:v>2.5</c:v>
                </c:pt>
                <c:pt idx="254">
                  <c:v>2.5</c:v>
                </c:pt>
                <c:pt idx="255">
                  <c:v>2.5</c:v>
                </c:pt>
                <c:pt idx="256">
                  <c:v>2.5</c:v>
                </c:pt>
                <c:pt idx="257">
                  <c:v>2.5</c:v>
                </c:pt>
                <c:pt idx="258">
                  <c:v>2.5</c:v>
                </c:pt>
                <c:pt idx="259">
                  <c:v>2.5</c:v>
                </c:pt>
                <c:pt idx="260">
                  <c:v>2.5</c:v>
                </c:pt>
                <c:pt idx="261">
                  <c:v>2.5</c:v>
                </c:pt>
                <c:pt idx="262">
                  <c:v>2.5</c:v>
                </c:pt>
                <c:pt idx="263">
                  <c:v>2.5</c:v>
                </c:pt>
                <c:pt idx="264">
                  <c:v>2.5</c:v>
                </c:pt>
                <c:pt idx="265">
                  <c:v>2.5</c:v>
                </c:pt>
                <c:pt idx="266">
                  <c:v>2.5</c:v>
                </c:pt>
                <c:pt idx="267">
                  <c:v>2.5</c:v>
                </c:pt>
                <c:pt idx="268">
                  <c:v>2.5</c:v>
                </c:pt>
                <c:pt idx="269">
                  <c:v>2.5</c:v>
                </c:pt>
                <c:pt idx="270">
                  <c:v>2.5</c:v>
                </c:pt>
                <c:pt idx="271">
                  <c:v>2.5</c:v>
                </c:pt>
                <c:pt idx="272">
                  <c:v>2.5</c:v>
                </c:pt>
                <c:pt idx="273">
                  <c:v>2.5</c:v>
                </c:pt>
                <c:pt idx="274">
                  <c:v>2.5</c:v>
                </c:pt>
                <c:pt idx="275">
                  <c:v>2.5</c:v>
                </c:pt>
                <c:pt idx="276">
                  <c:v>2.5</c:v>
                </c:pt>
                <c:pt idx="277">
                  <c:v>2.5</c:v>
                </c:pt>
                <c:pt idx="278">
                  <c:v>2.5</c:v>
                </c:pt>
                <c:pt idx="279">
                  <c:v>2.5</c:v>
                </c:pt>
                <c:pt idx="280">
                  <c:v>2.5</c:v>
                </c:pt>
                <c:pt idx="281">
                  <c:v>2.5</c:v>
                </c:pt>
                <c:pt idx="282">
                  <c:v>2.5</c:v>
                </c:pt>
                <c:pt idx="283">
                  <c:v>2.5</c:v>
                </c:pt>
                <c:pt idx="284">
                  <c:v>2.5</c:v>
                </c:pt>
                <c:pt idx="285">
                  <c:v>2.5</c:v>
                </c:pt>
                <c:pt idx="286">
                  <c:v>2.5</c:v>
                </c:pt>
                <c:pt idx="287">
                  <c:v>2.5</c:v>
                </c:pt>
                <c:pt idx="288">
                  <c:v>2.5</c:v>
                </c:pt>
                <c:pt idx="289">
                  <c:v>2.5</c:v>
                </c:pt>
                <c:pt idx="290">
                  <c:v>2.5</c:v>
                </c:pt>
                <c:pt idx="291">
                  <c:v>2.5</c:v>
                </c:pt>
                <c:pt idx="292">
                  <c:v>2.5</c:v>
                </c:pt>
                <c:pt idx="293">
                  <c:v>2.5</c:v>
                </c:pt>
                <c:pt idx="294">
                  <c:v>2.5</c:v>
                </c:pt>
                <c:pt idx="295">
                  <c:v>2.5</c:v>
                </c:pt>
                <c:pt idx="296">
                  <c:v>2.5</c:v>
                </c:pt>
                <c:pt idx="297">
                  <c:v>2.5</c:v>
                </c:pt>
                <c:pt idx="298">
                  <c:v>2.5</c:v>
                </c:pt>
                <c:pt idx="299">
                  <c:v>2.5</c:v>
                </c:pt>
                <c:pt idx="300">
                  <c:v>2.5</c:v>
                </c:pt>
                <c:pt idx="301">
                  <c:v>2.5</c:v>
                </c:pt>
                <c:pt idx="302">
                  <c:v>2.5</c:v>
                </c:pt>
                <c:pt idx="303">
                  <c:v>2.5</c:v>
                </c:pt>
                <c:pt idx="304">
                  <c:v>2.5</c:v>
                </c:pt>
                <c:pt idx="305">
                  <c:v>2.5</c:v>
                </c:pt>
                <c:pt idx="306">
                  <c:v>2.5</c:v>
                </c:pt>
                <c:pt idx="307">
                  <c:v>2.5</c:v>
                </c:pt>
                <c:pt idx="308">
                  <c:v>2.5</c:v>
                </c:pt>
                <c:pt idx="309">
                  <c:v>2.5</c:v>
                </c:pt>
                <c:pt idx="310">
                  <c:v>2.5</c:v>
                </c:pt>
                <c:pt idx="311">
                  <c:v>2.5</c:v>
                </c:pt>
                <c:pt idx="312">
                  <c:v>2.5</c:v>
                </c:pt>
                <c:pt idx="313">
                  <c:v>2.5</c:v>
                </c:pt>
                <c:pt idx="314">
                  <c:v>2.5</c:v>
                </c:pt>
                <c:pt idx="315">
                  <c:v>2.5</c:v>
                </c:pt>
                <c:pt idx="316">
                  <c:v>2.5</c:v>
                </c:pt>
                <c:pt idx="317">
                  <c:v>2.5</c:v>
                </c:pt>
                <c:pt idx="318">
                  <c:v>2.5</c:v>
                </c:pt>
                <c:pt idx="319">
                  <c:v>2.5</c:v>
                </c:pt>
                <c:pt idx="320">
                  <c:v>2.5</c:v>
                </c:pt>
                <c:pt idx="321">
                  <c:v>2.5</c:v>
                </c:pt>
                <c:pt idx="322">
                  <c:v>2.5</c:v>
                </c:pt>
                <c:pt idx="323">
                  <c:v>2.5</c:v>
                </c:pt>
                <c:pt idx="324">
                  <c:v>2.5</c:v>
                </c:pt>
                <c:pt idx="325">
                  <c:v>2.5</c:v>
                </c:pt>
                <c:pt idx="326">
                  <c:v>2.5</c:v>
                </c:pt>
                <c:pt idx="327">
                  <c:v>2.5</c:v>
                </c:pt>
                <c:pt idx="328">
                  <c:v>2.5</c:v>
                </c:pt>
                <c:pt idx="329">
                  <c:v>2.5</c:v>
                </c:pt>
                <c:pt idx="330">
                  <c:v>2.5</c:v>
                </c:pt>
                <c:pt idx="331">
                  <c:v>2.5</c:v>
                </c:pt>
                <c:pt idx="332">
                  <c:v>2.5</c:v>
                </c:pt>
                <c:pt idx="333">
                  <c:v>2.5</c:v>
                </c:pt>
                <c:pt idx="334">
                  <c:v>2.5</c:v>
                </c:pt>
                <c:pt idx="335">
                  <c:v>2.5</c:v>
                </c:pt>
                <c:pt idx="336">
                  <c:v>2.5</c:v>
                </c:pt>
                <c:pt idx="337">
                  <c:v>2.5</c:v>
                </c:pt>
                <c:pt idx="338">
                  <c:v>2.5</c:v>
                </c:pt>
                <c:pt idx="339">
                  <c:v>2.5</c:v>
                </c:pt>
                <c:pt idx="340">
                  <c:v>2.5</c:v>
                </c:pt>
                <c:pt idx="341">
                  <c:v>2.5</c:v>
                </c:pt>
                <c:pt idx="342">
                  <c:v>2.5</c:v>
                </c:pt>
                <c:pt idx="343">
                  <c:v>2.5</c:v>
                </c:pt>
                <c:pt idx="344">
                  <c:v>2.5</c:v>
                </c:pt>
                <c:pt idx="345">
                  <c:v>2.5</c:v>
                </c:pt>
                <c:pt idx="346">
                  <c:v>2.5</c:v>
                </c:pt>
                <c:pt idx="347">
                  <c:v>2.5</c:v>
                </c:pt>
                <c:pt idx="348">
                  <c:v>2.5</c:v>
                </c:pt>
                <c:pt idx="349">
                  <c:v>2.5</c:v>
                </c:pt>
                <c:pt idx="350">
                  <c:v>2.5</c:v>
                </c:pt>
                <c:pt idx="351">
                  <c:v>2.5</c:v>
                </c:pt>
                <c:pt idx="352">
                  <c:v>2.5</c:v>
                </c:pt>
                <c:pt idx="353">
                  <c:v>2.5</c:v>
                </c:pt>
                <c:pt idx="354">
                  <c:v>2.5</c:v>
                </c:pt>
                <c:pt idx="355">
                  <c:v>2.5</c:v>
                </c:pt>
                <c:pt idx="356">
                  <c:v>2.5</c:v>
                </c:pt>
                <c:pt idx="357">
                  <c:v>2.5</c:v>
                </c:pt>
                <c:pt idx="358">
                  <c:v>2.5</c:v>
                </c:pt>
                <c:pt idx="359">
                  <c:v>2.5</c:v>
                </c:pt>
                <c:pt idx="360">
                  <c:v>2.5</c:v>
                </c:pt>
                <c:pt idx="361">
                  <c:v>2.5</c:v>
                </c:pt>
                <c:pt idx="362">
                  <c:v>2.5</c:v>
                </c:pt>
                <c:pt idx="363">
                  <c:v>2.5</c:v>
                </c:pt>
                <c:pt idx="364">
                  <c:v>2.5</c:v>
                </c:pt>
                <c:pt idx="365">
                  <c:v>2.5</c:v>
                </c:pt>
                <c:pt idx="366">
                  <c:v>2.5</c:v>
                </c:pt>
                <c:pt idx="367">
                  <c:v>2.5</c:v>
                </c:pt>
                <c:pt idx="368">
                  <c:v>2.5</c:v>
                </c:pt>
              </c:numCache>
            </c:numRef>
          </c:xVal>
          <c:yVal>
            <c:numRef>
              <c:f>'Boxplot Parameters XYZZ'!$P$2:$P$370</c:f>
              <c:numCache>
                <c:formatCode>General</c:formatCode>
                <c:ptCount val="369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72.400000000000006</c:v>
                </c:pt>
                <c:pt idx="38">
                  <c:v>74</c:v>
                </c:pt>
                <c:pt idx="39">
                  <c:v>88.4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78</c:v>
                </c:pt>
                <c:pt idx="74">
                  <c:v>143.69999999999999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48.4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48.4</c:v>
                </c:pt>
                <c:pt idx="206">
                  <c:v>56.8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30.7</c:v>
                </c:pt>
                <c:pt idx="274">
                  <c:v>48.9</c:v>
                </c:pt>
                <c:pt idx="275">
                  <c:v>60.9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19.8</c:v>
                </c:pt>
                <c:pt idx="301">
                  <c:v>26.6</c:v>
                </c:pt>
                <c:pt idx="302">
                  <c:v>34.700000000000003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19.399999999999999</c:v>
                </c:pt>
                <c:pt idx="335">
                  <c:v>21.5</c:v>
                </c:pt>
                <c:pt idx="336">
                  <c:v>25.4</c:v>
                </c:pt>
                <c:pt idx="337">
                  <c:v>25.9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'Boxplot Parameters XYZZ'!$O$2:$O$370</c:f>
              <c:numCache>
                <c:formatCode>General</c:formatCode>
                <c:ptCount val="36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1.5</c:v>
                </c:pt>
                <c:pt idx="124">
                  <c:v>1.5</c:v>
                </c:pt>
                <c:pt idx="125">
                  <c:v>1.5</c:v>
                </c:pt>
                <c:pt idx="126">
                  <c:v>1.5</c:v>
                </c:pt>
                <c:pt idx="127">
                  <c:v>1.5</c:v>
                </c:pt>
                <c:pt idx="128">
                  <c:v>1.5</c:v>
                </c:pt>
                <c:pt idx="129">
                  <c:v>1.5</c:v>
                </c:pt>
                <c:pt idx="130">
                  <c:v>1.5</c:v>
                </c:pt>
                <c:pt idx="131">
                  <c:v>1.5</c:v>
                </c:pt>
                <c:pt idx="132">
                  <c:v>1.5</c:v>
                </c:pt>
                <c:pt idx="133">
                  <c:v>1.5</c:v>
                </c:pt>
                <c:pt idx="134">
                  <c:v>1.5</c:v>
                </c:pt>
                <c:pt idx="135">
                  <c:v>1.5</c:v>
                </c:pt>
                <c:pt idx="136">
                  <c:v>1.5</c:v>
                </c:pt>
                <c:pt idx="137">
                  <c:v>1.5</c:v>
                </c:pt>
                <c:pt idx="138">
                  <c:v>1.5</c:v>
                </c:pt>
                <c:pt idx="139">
                  <c:v>1.5</c:v>
                </c:pt>
                <c:pt idx="140">
                  <c:v>1.5</c:v>
                </c:pt>
                <c:pt idx="141">
                  <c:v>1.5</c:v>
                </c:pt>
                <c:pt idx="142">
                  <c:v>1.5</c:v>
                </c:pt>
                <c:pt idx="143">
                  <c:v>1.5</c:v>
                </c:pt>
                <c:pt idx="144">
                  <c:v>1.5</c:v>
                </c:pt>
                <c:pt idx="145">
                  <c:v>1.5</c:v>
                </c:pt>
                <c:pt idx="146">
                  <c:v>1.5</c:v>
                </c:pt>
                <c:pt idx="147">
                  <c:v>1.5</c:v>
                </c:pt>
                <c:pt idx="148">
                  <c:v>1.5</c:v>
                </c:pt>
                <c:pt idx="149">
                  <c:v>1.5</c:v>
                </c:pt>
                <c:pt idx="150">
                  <c:v>1.5</c:v>
                </c:pt>
                <c:pt idx="151">
                  <c:v>1.5</c:v>
                </c:pt>
                <c:pt idx="152">
                  <c:v>1.5</c:v>
                </c:pt>
                <c:pt idx="153">
                  <c:v>1.5</c:v>
                </c:pt>
                <c:pt idx="154">
                  <c:v>1.5</c:v>
                </c:pt>
                <c:pt idx="155">
                  <c:v>1.5</c:v>
                </c:pt>
                <c:pt idx="156">
                  <c:v>1.5</c:v>
                </c:pt>
                <c:pt idx="157">
                  <c:v>1.5</c:v>
                </c:pt>
                <c:pt idx="158">
                  <c:v>1.5</c:v>
                </c:pt>
                <c:pt idx="159">
                  <c:v>1.5</c:v>
                </c:pt>
                <c:pt idx="160">
                  <c:v>1.5</c:v>
                </c:pt>
                <c:pt idx="161">
                  <c:v>1.5</c:v>
                </c:pt>
                <c:pt idx="162">
                  <c:v>1.5</c:v>
                </c:pt>
                <c:pt idx="163">
                  <c:v>1.5</c:v>
                </c:pt>
                <c:pt idx="164">
                  <c:v>1.5</c:v>
                </c:pt>
                <c:pt idx="165">
                  <c:v>1.5</c:v>
                </c:pt>
                <c:pt idx="166">
                  <c:v>1.5</c:v>
                </c:pt>
                <c:pt idx="167">
                  <c:v>1.5</c:v>
                </c:pt>
                <c:pt idx="168">
                  <c:v>1.5</c:v>
                </c:pt>
                <c:pt idx="169">
                  <c:v>1.5</c:v>
                </c:pt>
                <c:pt idx="170">
                  <c:v>1.5</c:v>
                </c:pt>
                <c:pt idx="171">
                  <c:v>1.5</c:v>
                </c:pt>
                <c:pt idx="172">
                  <c:v>1.5</c:v>
                </c:pt>
                <c:pt idx="173">
                  <c:v>1.5</c:v>
                </c:pt>
                <c:pt idx="174">
                  <c:v>1.5</c:v>
                </c:pt>
                <c:pt idx="175">
                  <c:v>1.5</c:v>
                </c:pt>
                <c:pt idx="176">
                  <c:v>1.5</c:v>
                </c:pt>
                <c:pt idx="177">
                  <c:v>1.5</c:v>
                </c:pt>
                <c:pt idx="178">
                  <c:v>1.5</c:v>
                </c:pt>
                <c:pt idx="179">
                  <c:v>1.5</c:v>
                </c:pt>
                <c:pt idx="180">
                  <c:v>1.5</c:v>
                </c:pt>
                <c:pt idx="181">
                  <c:v>1.5</c:v>
                </c:pt>
                <c:pt idx="182">
                  <c:v>1.5</c:v>
                </c:pt>
                <c:pt idx="183">
                  <c:v>1.5</c:v>
                </c:pt>
                <c:pt idx="184">
                  <c:v>1.5</c:v>
                </c:pt>
                <c:pt idx="185">
                  <c:v>1.5</c:v>
                </c:pt>
                <c:pt idx="186">
                  <c:v>1.5</c:v>
                </c:pt>
                <c:pt idx="187">
                  <c:v>1.5</c:v>
                </c:pt>
                <c:pt idx="188">
                  <c:v>1.5</c:v>
                </c:pt>
                <c:pt idx="189">
                  <c:v>1.5</c:v>
                </c:pt>
                <c:pt idx="190">
                  <c:v>1.5</c:v>
                </c:pt>
                <c:pt idx="191">
                  <c:v>1.5</c:v>
                </c:pt>
                <c:pt idx="192">
                  <c:v>1.5</c:v>
                </c:pt>
                <c:pt idx="193">
                  <c:v>1.5</c:v>
                </c:pt>
                <c:pt idx="194">
                  <c:v>1.5</c:v>
                </c:pt>
                <c:pt idx="195">
                  <c:v>1.5</c:v>
                </c:pt>
                <c:pt idx="196">
                  <c:v>1.5</c:v>
                </c:pt>
                <c:pt idx="197">
                  <c:v>1.5</c:v>
                </c:pt>
                <c:pt idx="198">
                  <c:v>1.5</c:v>
                </c:pt>
                <c:pt idx="199">
                  <c:v>1.5</c:v>
                </c:pt>
                <c:pt idx="200">
                  <c:v>1.5</c:v>
                </c:pt>
                <c:pt idx="201">
                  <c:v>1.5</c:v>
                </c:pt>
                <c:pt idx="202">
                  <c:v>1.5</c:v>
                </c:pt>
                <c:pt idx="203">
                  <c:v>1.5</c:v>
                </c:pt>
                <c:pt idx="204">
                  <c:v>1.5</c:v>
                </c:pt>
                <c:pt idx="205">
                  <c:v>1.5</c:v>
                </c:pt>
                <c:pt idx="206">
                  <c:v>1.5</c:v>
                </c:pt>
                <c:pt idx="207">
                  <c:v>1.5</c:v>
                </c:pt>
                <c:pt idx="208">
                  <c:v>1.5</c:v>
                </c:pt>
                <c:pt idx="209">
                  <c:v>1.5</c:v>
                </c:pt>
                <c:pt idx="210">
                  <c:v>1.5</c:v>
                </c:pt>
                <c:pt idx="211">
                  <c:v>1.5</c:v>
                </c:pt>
                <c:pt idx="212">
                  <c:v>1.5</c:v>
                </c:pt>
                <c:pt idx="213">
                  <c:v>1.5</c:v>
                </c:pt>
                <c:pt idx="214">
                  <c:v>1.5</c:v>
                </c:pt>
                <c:pt idx="215">
                  <c:v>1.5</c:v>
                </c:pt>
                <c:pt idx="216">
                  <c:v>1.5</c:v>
                </c:pt>
                <c:pt idx="217">
                  <c:v>1.5</c:v>
                </c:pt>
                <c:pt idx="218">
                  <c:v>1.5</c:v>
                </c:pt>
                <c:pt idx="219">
                  <c:v>1.5</c:v>
                </c:pt>
                <c:pt idx="220">
                  <c:v>1.5</c:v>
                </c:pt>
                <c:pt idx="221">
                  <c:v>1.5</c:v>
                </c:pt>
                <c:pt idx="222">
                  <c:v>1.5</c:v>
                </c:pt>
                <c:pt idx="223">
                  <c:v>1.5</c:v>
                </c:pt>
                <c:pt idx="224">
                  <c:v>1.5</c:v>
                </c:pt>
                <c:pt idx="225">
                  <c:v>1.5</c:v>
                </c:pt>
                <c:pt idx="226">
                  <c:v>1.5</c:v>
                </c:pt>
                <c:pt idx="227">
                  <c:v>1.5</c:v>
                </c:pt>
                <c:pt idx="228">
                  <c:v>1.5</c:v>
                </c:pt>
                <c:pt idx="229">
                  <c:v>1.5</c:v>
                </c:pt>
                <c:pt idx="230">
                  <c:v>1.5</c:v>
                </c:pt>
                <c:pt idx="231">
                  <c:v>1.5</c:v>
                </c:pt>
                <c:pt idx="232">
                  <c:v>1.5</c:v>
                </c:pt>
                <c:pt idx="233">
                  <c:v>1.5</c:v>
                </c:pt>
                <c:pt idx="234">
                  <c:v>1.5</c:v>
                </c:pt>
                <c:pt idx="235">
                  <c:v>1.5</c:v>
                </c:pt>
                <c:pt idx="236">
                  <c:v>1.5</c:v>
                </c:pt>
                <c:pt idx="237">
                  <c:v>1.5</c:v>
                </c:pt>
                <c:pt idx="238">
                  <c:v>1.5</c:v>
                </c:pt>
                <c:pt idx="239">
                  <c:v>1.5</c:v>
                </c:pt>
                <c:pt idx="240">
                  <c:v>1.5</c:v>
                </c:pt>
                <c:pt idx="241">
                  <c:v>1.5</c:v>
                </c:pt>
                <c:pt idx="242">
                  <c:v>1.5</c:v>
                </c:pt>
                <c:pt idx="243">
                  <c:v>1.5</c:v>
                </c:pt>
                <c:pt idx="244">
                  <c:v>1.5</c:v>
                </c:pt>
                <c:pt idx="245">
                  <c:v>1.5</c:v>
                </c:pt>
                <c:pt idx="246">
                  <c:v>2.5</c:v>
                </c:pt>
                <c:pt idx="247">
                  <c:v>2.5</c:v>
                </c:pt>
                <c:pt idx="248">
                  <c:v>2.5</c:v>
                </c:pt>
                <c:pt idx="249">
                  <c:v>2.5</c:v>
                </c:pt>
                <c:pt idx="250">
                  <c:v>2.5</c:v>
                </c:pt>
                <c:pt idx="251">
                  <c:v>2.5</c:v>
                </c:pt>
                <c:pt idx="252">
                  <c:v>2.5</c:v>
                </c:pt>
                <c:pt idx="253">
                  <c:v>2.5</c:v>
                </c:pt>
                <c:pt idx="254">
                  <c:v>2.5</c:v>
                </c:pt>
                <c:pt idx="255">
                  <c:v>2.5</c:v>
                </c:pt>
                <c:pt idx="256">
                  <c:v>2.5</c:v>
                </c:pt>
                <c:pt idx="257">
                  <c:v>2.5</c:v>
                </c:pt>
                <c:pt idx="258">
                  <c:v>2.5</c:v>
                </c:pt>
                <c:pt idx="259">
                  <c:v>2.5</c:v>
                </c:pt>
                <c:pt idx="260">
                  <c:v>2.5</c:v>
                </c:pt>
                <c:pt idx="261">
                  <c:v>2.5</c:v>
                </c:pt>
                <c:pt idx="262">
                  <c:v>2.5</c:v>
                </c:pt>
                <c:pt idx="263">
                  <c:v>2.5</c:v>
                </c:pt>
                <c:pt idx="264">
                  <c:v>2.5</c:v>
                </c:pt>
                <c:pt idx="265">
                  <c:v>2.5</c:v>
                </c:pt>
                <c:pt idx="266">
                  <c:v>2.5</c:v>
                </c:pt>
                <c:pt idx="267">
                  <c:v>2.5</c:v>
                </c:pt>
                <c:pt idx="268">
                  <c:v>2.5</c:v>
                </c:pt>
                <c:pt idx="269">
                  <c:v>2.5</c:v>
                </c:pt>
                <c:pt idx="270">
                  <c:v>2.5</c:v>
                </c:pt>
                <c:pt idx="271">
                  <c:v>2.5</c:v>
                </c:pt>
                <c:pt idx="272">
                  <c:v>2.5</c:v>
                </c:pt>
                <c:pt idx="273">
                  <c:v>2.5</c:v>
                </c:pt>
                <c:pt idx="274">
                  <c:v>2.5</c:v>
                </c:pt>
                <c:pt idx="275">
                  <c:v>2.5</c:v>
                </c:pt>
                <c:pt idx="276">
                  <c:v>2.5</c:v>
                </c:pt>
                <c:pt idx="277">
                  <c:v>2.5</c:v>
                </c:pt>
                <c:pt idx="278">
                  <c:v>2.5</c:v>
                </c:pt>
                <c:pt idx="279">
                  <c:v>2.5</c:v>
                </c:pt>
                <c:pt idx="280">
                  <c:v>2.5</c:v>
                </c:pt>
                <c:pt idx="281">
                  <c:v>2.5</c:v>
                </c:pt>
                <c:pt idx="282">
                  <c:v>2.5</c:v>
                </c:pt>
                <c:pt idx="283">
                  <c:v>2.5</c:v>
                </c:pt>
                <c:pt idx="284">
                  <c:v>2.5</c:v>
                </c:pt>
                <c:pt idx="285">
                  <c:v>2.5</c:v>
                </c:pt>
                <c:pt idx="286">
                  <c:v>2.5</c:v>
                </c:pt>
                <c:pt idx="287">
                  <c:v>2.5</c:v>
                </c:pt>
                <c:pt idx="288">
                  <c:v>2.5</c:v>
                </c:pt>
                <c:pt idx="289">
                  <c:v>2.5</c:v>
                </c:pt>
                <c:pt idx="290">
                  <c:v>2.5</c:v>
                </c:pt>
                <c:pt idx="291">
                  <c:v>2.5</c:v>
                </c:pt>
                <c:pt idx="292">
                  <c:v>2.5</c:v>
                </c:pt>
                <c:pt idx="293">
                  <c:v>2.5</c:v>
                </c:pt>
                <c:pt idx="294">
                  <c:v>2.5</c:v>
                </c:pt>
                <c:pt idx="295">
                  <c:v>2.5</c:v>
                </c:pt>
                <c:pt idx="296">
                  <c:v>2.5</c:v>
                </c:pt>
                <c:pt idx="297">
                  <c:v>2.5</c:v>
                </c:pt>
                <c:pt idx="298">
                  <c:v>2.5</c:v>
                </c:pt>
                <c:pt idx="299">
                  <c:v>2.5</c:v>
                </c:pt>
                <c:pt idx="300">
                  <c:v>2.5</c:v>
                </c:pt>
                <c:pt idx="301">
                  <c:v>2.5</c:v>
                </c:pt>
                <c:pt idx="302">
                  <c:v>2.5</c:v>
                </c:pt>
                <c:pt idx="303">
                  <c:v>2.5</c:v>
                </c:pt>
                <c:pt idx="304">
                  <c:v>2.5</c:v>
                </c:pt>
                <c:pt idx="305">
                  <c:v>2.5</c:v>
                </c:pt>
                <c:pt idx="306">
                  <c:v>2.5</c:v>
                </c:pt>
                <c:pt idx="307">
                  <c:v>2.5</c:v>
                </c:pt>
                <c:pt idx="308">
                  <c:v>2.5</c:v>
                </c:pt>
                <c:pt idx="309">
                  <c:v>2.5</c:v>
                </c:pt>
                <c:pt idx="310">
                  <c:v>2.5</c:v>
                </c:pt>
                <c:pt idx="311">
                  <c:v>2.5</c:v>
                </c:pt>
                <c:pt idx="312">
                  <c:v>2.5</c:v>
                </c:pt>
                <c:pt idx="313">
                  <c:v>2.5</c:v>
                </c:pt>
                <c:pt idx="314">
                  <c:v>2.5</c:v>
                </c:pt>
                <c:pt idx="315">
                  <c:v>2.5</c:v>
                </c:pt>
                <c:pt idx="316">
                  <c:v>2.5</c:v>
                </c:pt>
                <c:pt idx="317">
                  <c:v>2.5</c:v>
                </c:pt>
                <c:pt idx="318">
                  <c:v>2.5</c:v>
                </c:pt>
                <c:pt idx="319">
                  <c:v>2.5</c:v>
                </c:pt>
                <c:pt idx="320">
                  <c:v>2.5</c:v>
                </c:pt>
                <c:pt idx="321">
                  <c:v>2.5</c:v>
                </c:pt>
                <c:pt idx="322">
                  <c:v>2.5</c:v>
                </c:pt>
                <c:pt idx="323">
                  <c:v>2.5</c:v>
                </c:pt>
                <c:pt idx="324">
                  <c:v>2.5</c:v>
                </c:pt>
                <c:pt idx="325">
                  <c:v>2.5</c:v>
                </c:pt>
                <c:pt idx="326">
                  <c:v>2.5</c:v>
                </c:pt>
                <c:pt idx="327">
                  <c:v>2.5</c:v>
                </c:pt>
                <c:pt idx="328">
                  <c:v>2.5</c:v>
                </c:pt>
                <c:pt idx="329">
                  <c:v>2.5</c:v>
                </c:pt>
                <c:pt idx="330">
                  <c:v>2.5</c:v>
                </c:pt>
                <c:pt idx="331">
                  <c:v>2.5</c:v>
                </c:pt>
                <c:pt idx="332">
                  <c:v>2.5</c:v>
                </c:pt>
                <c:pt idx="333">
                  <c:v>2.5</c:v>
                </c:pt>
                <c:pt idx="334">
                  <c:v>2.5</c:v>
                </c:pt>
                <c:pt idx="335">
                  <c:v>2.5</c:v>
                </c:pt>
                <c:pt idx="336">
                  <c:v>2.5</c:v>
                </c:pt>
                <c:pt idx="337">
                  <c:v>2.5</c:v>
                </c:pt>
                <c:pt idx="338">
                  <c:v>2.5</c:v>
                </c:pt>
                <c:pt idx="339">
                  <c:v>2.5</c:v>
                </c:pt>
                <c:pt idx="340">
                  <c:v>2.5</c:v>
                </c:pt>
                <c:pt idx="341">
                  <c:v>2.5</c:v>
                </c:pt>
                <c:pt idx="342">
                  <c:v>2.5</c:v>
                </c:pt>
                <c:pt idx="343">
                  <c:v>2.5</c:v>
                </c:pt>
                <c:pt idx="344">
                  <c:v>2.5</c:v>
                </c:pt>
                <c:pt idx="345">
                  <c:v>2.5</c:v>
                </c:pt>
                <c:pt idx="346">
                  <c:v>2.5</c:v>
                </c:pt>
                <c:pt idx="347">
                  <c:v>2.5</c:v>
                </c:pt>
                <c:pt idx="348">
                  <c:v>2.5</c:v>
                </c:pt>
                <c:pt idx="349">
                  <c:v>2.5</c:v>
                </c:pt>
                <c:pt idx="350">
                  <c:v>2.5</c:v>
                </c:pt>
                <c:pt idx="351">
                  <c:v>2.5</c:v>
                </c:pt>
                <c:pt idx="352">
                  <c:v>2.5</c:v>
                </c:pt>
                <c:pt idx="353">
                  <c:v>2.5</c:v>
                </c:pt>
                <c:pt idx="354">
                  <c:v>2.5</c:v>
                </c:pt>
                <c:pt idx="355">
                  <c:v>2.5</c:v>
                </c:pt>
                <c:pt idx="356">
                  <c:v>2.5</c:v>
                </c:pt>
                <c:pt idx="357">
                  <c:v>2.5</c:v>
                </c:pt>
                <c:pt idx="358">
                  <c:v>2.5</c:v>
                </c:pt>
                <c:pt idx="359">
                  <c:v>2.5</c:v>
                </c:pt>
                <c:pt idx="360">
                  <c:v>2.5</c:v>
                </c:pt>
                <c:pt idx="361">
                  <c:v>2.5</c:v>
                </c:pt>
                <c:pt idx="362">
                  <c:v>2.5</c:v>
                </c:pt>
                <c:pt idx="363">
                  <c:v>2.5</c:v>
                </c:pt>
                <c:pt idx="364">
                  <c:v>2.5</c:v>
                </c:pt>
                <c:pt idx="365">
                  <c:v>2.5</c:v>
                </c:pt>
                <c:pt idx="366">
                  <c:v>2.5</c:v>
                </c:pt>
                <c:pt idx="367">
                  <c:v>2.5</c:v>
                </c:pt>
                <c:pt idx="368">
                  <c:v>2.5</c:v>
                </c:pt>
              </c:numCache>
            </c:numRef>
          </c:xVal>
          <c:yVal>
            <c:numRef>
              <c:f>'Boxplot Parameters XYZZ'!$Q$2:$Q$370</c:f>
              <c:numCache>
                <c:formatCode>General</c:formatCode>
                <c:ptCount val="369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46.5</c:v>
                </c:pt>
                <c:pt idx="113">
                  <c:v>53</c:v>
                </c:pt>
                <c:pt idx="114">
                  <c:v>58.7</c:v>
                </c:pt>
                <c:pt idx="115">
                  <c:v>60.1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40.200000000000003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31.9</c:v>
                </c:pt>
                <c:pt idx="201">
                  <c:v>32.5</c:v>
                </c:pt>
                <c:pt idx="202">
                  <c:v>33.5</c:v>
                </c:pt>
                <c:pt idx="203">
                  <c:v>41.5</c:v>
                </c:pt>
                <c:pt idx="204">
                  <c:v>45.3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34.800000000000004</c:v>
                </c:pt>
                <c:pt idx="244">
                  <c:v>40.300000000000004</c:v>
                </c:pt>
                <c:pt idx="245">
                  <c:v>47.8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11.1</c:v>
                </c:pt>
                <c:pt idx="271">
                  <c:v>12.2</c:v>
                </c:pt>
                <c:pt idx="272">
                  <c:v>14.3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14.4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</c:numCache>
            </c:numRef>
          </c:yVal>
          <c:smooth val="0"/>
        </c:ser>
        <c:ser>
          <c:idx val="3"/>
          <c:order val="3"/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50116483707434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Anterior</a:t>
                    </a:r>
                  </a:p>
                </c:rich>
              </c:tx>
              <c:dLblPos val="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Premolar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Molar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'Boxplot Parameters XYZZ'!$U$2:$U$7</c:f>
              <c:numCache>
                <c:formatCode>General</c:formatCode>
                <c:ptCount val="6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</c:numCache>
            </c:numRef>
          </c:xVal>
          <c:yVal>
            <c:numRef>
              <c:f>'Boxplot Parameters XYZZ'!$V$2:$V$7</c:f>
              <c:numCache>
                <c:formatCode>General</c:formatCode>
                <c:ptCount val="6"/>
                <c:pt idx="0">
                  <c:v>-10.15714285714286</c:v>
                </c:pt>
                <c:pt idx="1">
                  <c:v>-10.15714285714286</c:v>
                </c:pt>
                <c:pt idx="2">
                  <c:v>-10.15714285714286</c:v>
                </c:pt>
              </c:numCache>
            </c:numRef>
          </c:yVal>
          <c:smooth val="0"/>
        </c:ser>
        <c:ser>
          <c:idx val="4"/>
          <c:order val="4"/>
          <c:spPr>
            <a:ln w="1270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'Boxplot Parameters XYZZ'!$W$2:$W$9</c:f>
              <c:numCache>
                <c:formatCode>General</c:formatCode>
                <c:ptCount val="8"/>
                <c:pt idx="0">
                  <c:v>0.2</c:v>
                </c:pt>
                <c:pt idx="1">
                  <c:v>0.8</c:v>
                </c:pt>
                <c:pt idx="3">
                  <c:v>1.2</c:v>
                </c:pt>
                <c:pt idx="4">
                  <c:v>1.8</c:v>
                </c:pt>
                <c:pt idx="6">
                  <c:v>2.2000000000000002</c:v>
                </c:pt>
                <c:pt idx="7">
                  <c:v>2.8</c:v>
                </c:pt>
              </c:numCache>
            </c:numRef>
          </c:xVal>
          <c:yVal>
            <c:numRef>
              <c:f>'Boxplot Parameters XYZZ'!$X$2:$X$9</c:f>
              <c:numCache>
                <c:formatCode>General</c:formatCode>
                <c:ptCount val="8"/>
                <c:pt idx="0">
                  <c:v>15.388655995934952</c:v>
                </c:pt>
                <c:pt idx="1">
                  <c:v>15.388655995934952</c:v>
                </c:pt>
                <c:pt idx="3">
                  <c:v>10.433577235772352</c:v>
                </c:pt>
                <c:pt idx="4">
                  <c:v>10.433577235772352</c:v>
                </c:pt>
                <c:pt idx="6">
                  <c:v>5.9601626016260054</c:v>
                </c:pt>
                <c:pt idx="7">
                  <c:v>5.9601626016260054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9418584"/>
        <c:axId val="227822784"/>
      </c:scatterChart>
      <c:valAx>
        <c:axId val="279418584"/>
        <c:scaling>
          <c:orientation val="minMax"/>
          <c:max val="3"/>
        </c:scaling>
        <c:delete val="0"/>
        <c:axPos val="b"/>
        <c:numFmt formatCode="General" sourceLinked="1"/>
        <c:majorTickMark val="none"/>
        <c:minorTickMark val="none"/>
        <c:tickLblPos val="none"/>
        <c:spPr>
          <a:ln w="9525">
            <a:noFill/>
          </a:ln>
        </c:spPr>
        <c:txPr>
          <a:bodyPr/>
          <a:lstStyle/>
          <a:p>
            <a:pPr>
              <a:defRPr lang="es-CO"/>
            </a:pPr>
            <a:endParaRPr lang="en-US"/>
          </a:p>
        </c:txPr>
        <c:crossAx val="227822784"/>
        <c:crosses val="autoZero"/>
        <c:crossBetween val="midCat"/>
      </c:valAx>
      <c:valAx>
        <c:axId val="2278227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s-CO" sz="12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s-MX" b="0">
                    <a:latin typeface="Arial" panose="020B0604020202020204" pitchFamily="34" charset="0"/>
                    <a:cs typeface="Arial" panose="020B0604020202020204" pitchFamily="34" charset="0"/>
                  </a:rPr>
                  <a:t>Área mm</a:t>
                </a:r>
                <a:r>
                  <a:rPr lang="es-MX" b="0" baseline="30000">
                    <a:latin typeface="Arial" panose="020B0604020202020204" pitchFamily="34" charset="0"/>
                    <a:cs typeface="Arial" panose="020B0604020202020204" pitchFamily="34" charset="0"/>
                  </a:rPr>
                  <a:t>2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CO"/>
            </a:pPr>
            <a:endParaRPr lang="en-US"/>
          </a:p>
        </c:txPr>
        <c:crossAx val="27941858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/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80796150481185"/>
          <c:y val="9.1985941203716323E-2"/>
          <c:w val="0.85263648293963268"/>
          <c:h val="0.7158317667039026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3.0360531309297795E-2"/>
                  <c:y val="-5.7094786228644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33586221430351E-2"/>
                  <c:y val="-5.370205886893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3.755867927516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RESULTADOS!$B$66:$B$67</c:f>
              <c:strCache>
                <c:ptCount val="2"/>
                <c:pt idx="0">
                  <c:v>PREMOLAR</c:v>
                </c:pt>
                <c:pt idx="1">
                  <c:v>MOLAR</c:v>
                </c:pt>
              </c:strCache>
            </c:strRef>
          </c:cat>
          <c:val>
            <c:numRef>
              <c:f>RESULTADOS!$F$66:$F$67</c:f>
              <c:numCache>
                <c:formatCode>General</c:formatCode>
                <c:ptCount val="2"/>
                <c:pt idx="0">
                  <c:v>3.1</c:v>
                </c:pt>
                <c:pt idx="1">
                  <c:v>11.4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823568"/>
        <c:axId val="227823960"/>
        <c:axId val="0"/>
      </c:bar3DChart>
      <c:catAx>
        <c:axId val="22782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27823960"/>
        <c:crosses val="autoZero"/>
        <c:auto val="1"/>
        <c:lblAlgn val="ctr"/>
        <c:lblOffset val="100"/>
        <c:noMultiLvlLbl val="0"/>
      </c:catAx>
      <c:valAx>
        <c:axId val="2278239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 b="0"/>
                  <a:t>Área mm2</a:t>
                </a:r>
              </a:p>
            </c:rich>
          </c:tx>
          <c:layout>
            <c:manualLayout>
              <c:xMode val="edge"/>
              <c:yMode val="edge"/>
              <c:x val="3.1326848849776191E-2"/>
              <c:y val="0.433977002874642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2782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0.00749</cdr:x>
      <cdr:y>0.90824</cdr:y>
    </cdr:from>
    <cdr:to>
      <cdr:x>0.44506</cdr:x>
      <cdr:y>0.98813</cdr:y>
    </cdr:to>
    <cdr:sp macro="" textlink="">
      <cdr:nvSpPr>
        <cdr:cNvPr id="2" name="5 CuadroTexto"/>
        <cdr:cNvSpPr txBox="1"/>
      </cdr:nvSpPr>
      <cdr:spPr>
        <a:xfrm xmlns:a="http://schemas.openxmlformats.org/drawingml/2006/main">
          <a:off x="34102" y="2894058"/>
          <a:ext cx="1992234" cy="25456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Kruskal Wallis Valor p=</a:t>
          </a:r>
          <a:r>
            <a:rPr lang="es-MX" sz="11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0,016</a:t>
          </a:r>
        </a:p>
      </cdr:txBody>
    </cdr:sp>
  </cdr:relSizeAnchor>
  <cdr:relSizeAnchor xmlns:cdr="http://schemas.openxmlformats.org/drawingml/2006/chartDrawing">
    <cdr:from>
      <cdr:x>0.26565</cdr:x>
      <cdr:y>0.00642</cdr:y>
    </cdr:from>
    <cdr:to>
      <cdr:x>0.47526</cdr:x>
      <cdr:y>0.11867</cdr:y>
    </cdr:to>
    <cdr:sp macro="" textlink="">
      <cdr:nvSpPr>
        <cdr:cNvPr id="3" name="5 CuadroTexto"/>
        <cdr:cNvSpPr txBox="1"/>
      </cdr:nvSpPr>
      <cdr:spPr>
        <a:xfrm xmlns:a="http://schemas.openxmlformats.org/drawingml/2006/main">
          <a:off x="1209491" y="20457"/>
          <a:ext cx="954364" cy="35766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Mann Whitney </a:t>
          </a:r>
        </a:p>
        <a:p xmlns:a="http://schemas.openxmlformats.org/drawingml/2006/main"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 Valor p=</a:t>
          </a:r>
          <a:r>
            <a:rPr lang="es-MX" sz="9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0.025</a:t>
          </a:r>
        </a:p>
      </cdr:txBody>
    </cdr:sp>
  </cdr:relSizeAnchor>
  <cdr:relSizeAnchor xmlns:cdr="http://schemas.openxmlformats.org/drawingml/2006/chartDrawing">
    <cdr:from>
      <cdr:x>0.61173</cdr:x>
      <cdr:y>0.00642</cdr:y>
    </cdr:from>
    <cdr:to>
      <cdr:x>0.90579</cdr:x>
      <cdr:y>0.11867</cdr:y>
    </cdr:to>
    <cdr:sp macro="" textlink="">
      <cdr:nvSpPr>
        <cdr:cNvPr id="4" name="5 CuadroTexto"/>
        <cdr:cNvSpPr txBox="1"/>
      </cdr:nvSpPr>
      <cdr:spPr>
        <a:xfrm xmlns:a="http://schemas.openxmlformats.org/drawingml/2006/main">
          <a:off x="2785198" y="20472"/>
          <a:ext cx="1338840" cy="35766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Mann Whitney  </a:t>
          </a:r>
        </a:p>
        <a:p xmlns:a="http://schemas.openxmlformats.org/drawingml/2006/main"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Valor p=</a:t>
          </a:r>
          <a:r>
            <a:rPr lang="es-MX" sz="9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0.007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0.84878</cdr:x>
      <cdr:y>0.68772</cdr:y>
    </cdr:from>
    <cdr:to>
      <cdr:x>0.92158</cdr:x>
      <cdr:y>0.75901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4478877" y="2037220"/>
          <a:ext cx="384154" cy="211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3,3</a:t>
          </a:r>
        </a:p>
      </cdr:txBody>
    </cdr:sp>
  </cdr:relSizeAnchor>
  <cdr:relSizeAnchor xmlns:cdr="http://schemas.openxmlformats.org/drawingml/2006/chartDrawing">
    <cdr:from>
      <cdr:x>0.08927</cdr:x>
      <cdr:y>0.90981</cdr:y>
    </cdr:from>
    <cdr:to>
      <cdr:x>0.92672</cdr:x>
      <cdr:y>1</cdr:y>
    </cdr:to>
    <cdr:sp macro="" textlink="">
      <cdr:nvSpPr>
        <cdr:cNvPr id="3" name="5 CuadroTexto"/>
        <cdr:cNvSpPr txBox="1"/>
      </cdr:nvSpPr>
      <cdr:spPr>
        <a:xfrm xmlns:a="http://schemas.openxmlformats.org/drawingml/2006/main">
          <a:off x="441801" y="2568018"/>
          <a:ext cx="4144724" cy="25455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Kruskal Wallis Valor p=</a:t>
          </a:r>
          <a:r>
            <a:rPr lang="es-MX" sz="1100" b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5,7E-06 </a:t>
          </a:r>
          <a:r>
            <a:rPr lang="es-MX" sz="110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- Mann</a:t>
          </a:r>
          <a:r>
            <a:rPr lang="es-MX" sz="1100" b="0" baseline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Whitney Valor p&lt;</a:t>
          </a:r>
          <a:r>
            <a:rPr lang="es-MX" sz="1100" b="0" baseline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2,1E-7</a:t>
          </a:r>
          <a:endParaRPr lang="es-MX" sz="1100" b="0">
            <a:solidFill>
              <a:srgbClr val="FF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0.26876</cdr:x>
      <cdr:y>0.89609</cdr:y>
    </cdr:from>
    <cdr:to>
      <cdr:x>0.69553</cdr:x>
      <cdr:y>0.98856</cdr:y>
    </cdr:to>
    <cdr:sp macro="" textlink="">
      <cdr:nvSpPr>
        <cdr:cNvPr id="2" name="5 CuadroTexto"/>
        <cdr:cNvSpPr txBox="1"/>
      </cdr:nvSpPr>
      <cdr:spPr>
        <a:xfrm xmlns:a="http://schemas.openxmlformats.org/drawingml/2006/main">
          <a:off x="1402841" y="2466677"/>
          <a:ext cx="2227596" cy="25455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MX" sz="1100" b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 Mann</a:t>
          </a:r>
          <a:r>
            <a:rPr lang="es-MX" sz="1100" b="0" baseline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 Whitney Valor p= </a:t>
          </a:r>
          <a:r>
            <a:rPr lang="es-MX" sz="1100" b="0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3,8E-13</a:t>
          </a:r>
          <a:endParaRPr lang="es-MX" sz="1100" b="0">
            <a:solidFill>
              <a:srgbClr val="FF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londoño</dc:creator>
  <cp:keywords/>
  <dc:description/>
  <cp:lastModifiedBy>Alejandra Londoño</cp:lastModifiedBy>
  <cp:revision>15</cp:revision>
  <dcterms:created xsi:type="dcterms:W3CDTF">2013-06-03T05:14:00Z</dcterms:created>
  <dcterms:modified xsi:type="dcterms:W3CDTF">2014-01-28T20:11:00Z</dcterms:modified>
</cp:coreProperties>
</file>