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77" w:rsidRPr="00DA6929" w:rsidRDefault="00BB6677" w:rsidP="00DA6929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pStyle w:val="Textoindependiente"/>
        <w:spacing w:after="0"/>
        <w:jc w:val="center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249387AA" wp14:editId="4AC84F76">
            <wp:extent cx="5320701" cy="3347049"/>
            <wp:effectExtent l="0" t="0" r="13335" b="254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677" w:rsidRPr="00DA6929" w:rsidRDefault="00BB6677" w:rsidP="00DA6929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52724E" w:rsidRDefault="0052724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6677" w:rsidRPr="00DA6929" w:rsidRDefault="00BB6677" w:rsidP="00DA692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D26F9" w:rsidRDefault="0052724E" w:rsidP="00DA692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D26F9">
        <w:rPr>
          <w:rFonts w:ascii="Arial" w:hAnsi="Arial" w:cs="Arial"/>
          <w:b/>
          <w:sz w:val="20"/>
          <w:szCs w:val="20"/>
          <w:lang w:val="es-ES"/>
        </w:rPr>
        <w:t>TABLA 1. FACTORES DE RIESGO PARA DESARROLLAR INFECCIÓN DEL SITIO OPERATORIO ENCONTRADOS EN LAS HISTORIAS CLÍNICAS DEL HUBU – MÉDERI*</w:t>
      </w:r>
    </w:p>
    <w:tbl>
      <w:tblPr>
        <w:tblStyle w:val="Cuadrculamedia3-nfasis1"/>
        <w:tblW w:w="6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2415"/>
      </w:tblGrid>
      <w:tr w:rsidR="00BB6677" w:rsidRPr="00DA6929" w:rsidTr="00DD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  <w:vAlign w:val="center"/>
            <w:hideMark/>
          </w:tcPr>
          <w:p w:rsidR="00BB6677" w:rsidRPr="00DD26F9" w:rsidRDefault="00BB6677" w:rsidP="00DA6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6F9">
              <w:rPr>
                <w:rFonts w:ascii="Arial" w:hAnsi="Arial" w:cs="Arial"/>
                <w:sz w:val="20"/>
                <w:szCs w:val="20"/>
              </w:rPr>
              <w:t>FACTOR**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  <w:vAlign w:val="center"/>
            <w:hideMark/>
          </w:tcPr>
          <w:p w:rsidR="00BB6677" w:rsidRPr="00DD26F9" w:rsidRDefault="00BB6677" w:rsidP="00DA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6F9">
              <w:rPr>
                <w:rFonts w:ascii="Arial" w:hAnsi="Arial" w:cs="Arial"/>
                <w:sz w:val="20"/>
                <w:szCs w:val="20"/>
              </w:rPr>
              <w:t>PORCENTAJE – (N)</w:t>
            </w:r>
          </w:p>
        </w:tc>
      </w:tr>
      <w:tr w:rsidR="00BB6677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Edad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8,1%    (19)</w:t>
            </w:r>
          </w:p>
        </w:tc>
      </w:tr>
      <w:tr w:rsidR="00BB6677" w:rsidRPr="00DA6929" w:rsidTr="0052724E">
        <w:trPr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Condición sistémica asociada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21,8%  (51)</w:t>
            </w:r>
          </w:p>
        </w:tc>
      </w:tr>
      <w:tr w:rsidR="00BB6677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Consumo de irritantes locales***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6,0%    (14)</w:t>
            </w:r>
          </w:p>
        </w:tc>
      </w:tr>
      <w:tr w:rsidR="00BB6677" w:rsidRPr="00DA6929" w:rsidTr="0052724E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Higiene Oral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14,5%  (34)</w:t>
            </w:r>
          </w:p>
        </w:tc>
      </w:tr>
      <w:tr w:rsidR="00BB6677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Tipo de Herida****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3,8%    (9)</w:t>
            </w:r>
          </w:p>
        </w:tc>
      </w:tr>
      <w:tr w:rsidR="00BB6677" w:rsidRPr="00DA6929" w:rsidTr="0052724E">
        <w:trPr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Falta de asepsia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7,7%    (18)</w:t>
            </w:r>
          </w:p>
        </w:tc>
      </w:tr>
      <w:tr w:rsidR="00BB6677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Tiempo quirúrgico de 90 o más minutos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3,4%    (8)</w:t>
            </w:r>
          </w:p>
        </w:tc>
      </w:tr>
    </w:tbl>
    <w:p w:rsidR="0052724E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b/>
          <w:sz w:val="20"/>
          <w:szCs w:val="20"/>
        </w:rPr>
        <w:t xml:space="preserve">* </w:t>
      </w:r>
      <w:r w:rsidRPr="00DA6929">
        <w:rPr>
          <w:rFonts w:ascii="Arial" w:hAnsi="Arial" w:cs="Arial"/>
          <w:sz w:val="20"/>
          <w:szCs w:val="20"/>
        </w:rPr>
        <w:t>Tabla para las 100 historias clínicas en que se encontraron factores de riesgo</w:t>
      </w:r>
      <w:r w:rsidR="0052724E">
        <w:rPr>
          <w:rFonts w:ascii="Arial" w:hAnsi="Arial" w:cs="Arial"/>
          <w:sz w:val="20"/>
          <w:szCs w:val="20"/>
        </w:rPr>
        <w:t>.</w:t>
      </w:r>
    </w:p>
    <w:p w:rsidR="0052724E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sz w:val="20"/>
          <w:szCs w:val="20"/>
        </w:rPr>
        <w:t xml:space="preserve">** Una historia clínica puede reportar más de 1 factor de riesgo. </w:t>
      </w:r>
    </w:p>
    <w:p w:rsidR="0052724E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sz w:val="20"/>
          <w:szCs w:val="20"/>
        </w:rPr>
        <w:t>***</w:t>
      </w:r>
      <w:r w:rsidR="0052724E">
        <w:rPr>
          <w:rFonts w:ascii="Arial" w:hAnsi="Arial" w:cs="Arial"/>
          <w:sz w:val="20"/>
          <w:szCs w:val="20"/>
        </w:rPr>
        <w:t xml:space="preserve"> </w:t>
      </w:r>
      <w:r w:rsidRPr="00DA6929">
        <w:rPr>
          <w:rFonts w:ascii="Arial" w:hAnsi="Arial" w:cs="Arial"/>
          <w:sz w:val="20"/>
          <w:szCs w:val="20"/>
        </w:rPr>
        <w:t xml:space="preserve">En 2 historias clínicas se reportó consumo de alcohol y en 12 se reportó consumo de tabaco.  </w:t>
      </w: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sz w:val="20"/>
          <w:szCs w:val="20"/>
        </w:rPr>
        <w:t xml:space="preserve">**** Solo se reportaron heridas contaminadas. </w:t>
      </w: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2724E" w:rsidRDefault="0052724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7C878DA9" wp14:editId="77529848">
            <wp:extent cx="4670282" cy="2432649"/>
            <wp:effectExtent l="19050" t="0" r="16018" b="5751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26F9" w:rsidRDefault="00DD26F9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sz w:val="20"/>
          <w:szCs w:val="20"/>
        </w:rPr>
        <w:t xml:space="preserve">Estas condiciones corresponden al 21,8% (51) historias clínicas reportadas en la tabla 1. Se debe tener en cuenta que estas condiciones pueden encontrarse en más de 1 historia clínica simultáneamente. </w:t>
      </w: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2724E" w:rsidRDefault="0052724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6677" w:rsidRPr="0052724E" w:rsidRDefault="0052724E" w:rsidP="00DA692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2724E">
        <w:rPr>
          <w:rFonts w:ascii="Arial" w:hAnsi="Arial" w:cs="Arial"/>
          <w:b/>
          <w:sz w:val="20"/>
          <w:szCs w:val="20"/>
          <w:lang w:val="es-ES"/>
        </w:rPr>
        <w:lastRenderedPageBreak/>
        <w:t>TABLA 2. ESQUEMAS DE PRESCRIPCIÓN ANTIBIÓTICA ENCONTRADA COMO "PROFIL</w:t>
      </w:r>
      <w:r w:rsidR="00DD26F9">
        <w:rPr>
          <w:rFonts w:ascii="Arial" w:hAnsi="Arial" w:cs="Arial"/>
          <w:b/>
          <w:sz w:val="20"/>
          <w:szCs w:val="20"/>
          <w:lang w:val="es-ES"/>
        </w:rPr>
        <w:t>Á</w:t>
      </w:r>
      <w:r w:rsidRPr="0052724E">
        <w:rPr>
          <w:rFonts w:ascii="Arial" w:hAnsi="Arial" w:cs="Arial"/>
          <w:b/>
          <w:sz w:val="20"/>
          <w:szCs w:val="20"/>
          <w:lang w:val="es-ES"/>
        </w:rPr>
        <w:t>CTICA" PARA PREVENCIÓN DE ISO EN LAS HISTORIAS CLÍNICAS DEL HUBU–MÉDERI</w:t>
      </w:r>
    </w:p>
    <w:tbl>
      <w:tblPr>
        <w:tblStyle w:val="Cuadrculamedia3-nfasis1"/>
        <w:tblW w:w="8378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791"/>
        <w:gridCol w:w="4208"/>
        <w:gridCol w:w="850"/>
        <w:gridCol w:w="1529"/>
      </w:tblGrid>
      <w:tr w:rsidR="0052724E" w:rsidRPr="00DD26F9" w:rsidTr="00DD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BB6677" w:rsidRPr="00DD26F9" w:rsidRDefault="00BB6677" w:rsidP="00DA6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6F9">
              <w:rPr>
                <w:rFonts w:ascii="Arial" w:hAnsi="Arial" w:cs="Arial"/>
                <w:sz w:val="20"/>
                <w:szCs w:val="20"/>
              </w:rPr>
              <w:t>Antibiótico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BB6677" w:rsidRPr="00DD26F9" w:rsidRDefault="00BB6677" w:rsidP="00DA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26F9">
              <w:rPr>
                <w:rFonts w:ascii="Arial" w:hAnsi="Arial" w:cs="Arial"/>
                <w:sz w:val="20"/>
                <w:szCs w:val="20"/>
              </w:rPr>
              <w:t>Esquema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BB6677" w:rsidRPr="00DD26F9" w:rsidRDefault="00BB6677" w:rsidP="00DA6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26F9">
              <w:rPr>
                <w:rFonts w:ascii="Arial" w:hAnsi="Arial" w:cs="Arial"/>
                <w:sz w:val="20"/>
                <w:szCs w:val="20"/>
              </w:rPr>
              <w:t>% - (N)</w:t>
            </w:r>
          </w:p>
        </w:tc>
      </w:tr>
      <w:tr w:rsidR="0052724E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Amoxicilina 500mg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4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0,43%   (1)</w:t>
            </w:r>
          </w:p>
        </w:tc>
      </w:tr>
      <w:tr w:rsidR="0052724E" w:rsidRPr="00DA6929" w:rsidTr="0052724E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5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16,24%  (38)</w:t>
            </w:r>
          </w:p>
        </w:tc>
      </w:tr>
      <w:tr w:rsidR="0052724E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7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POP*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56,41% (132)</w:t>
            </w:r>
          </w:p>
        </w:tc>
      </w:tr>
      <w:tr w:rsidR="0052724E" w:rsidRPr="00DA6929" w:rsidTr="0052724E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8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0,43%   (1)</w:t>
            </w:r>
          </w:p>
        </w:tc>
      </w:tr>
      <w:tr w:rsidR="0052724E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10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0,43%   (1)</w:t>
            </w:r>
          </w:p>
        </w:tc>
      </w:tr>
      <w:tr w:rsidR="0052724E" w:rsidRPr="00DA6929" w:rsidTr="0052724E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Cefalexina</w:t>
            </w:r>
            <w:proofErr w:type="spellEnd"/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 xml:space="preserve"> 500mg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6 horas por 5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POP**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2,99%   (7)</w:t>
            </w:r>
          </w:p>
        </w:tc>
      </w:tr>
      <w:tr w:rsidR="0052724E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6 horas por 7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4,27%   (10)</w:t>
            </w:r>
          </w:p>
        </w:tc>
      </w:tr>
      <w:tr w:rsidR="0052724E" w:rsidRPr="00DA6929" w:rsidTr="0052724E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Eritromicina</w:t>
            </w:r>
            <w:proofErr w:type="spellEnd"/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 xml:space="preserve"> 500mg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5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0,85%   (2)</w:t>
            </w:r>
          </w:p>
        </w:tc>
      </w:tr>
      <w:tr w:rsidR="0052724E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7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1,28%   (3)</w:t>
            </w:r>
          </w:p>
        </w:tc>
      </w:tr>
      <w:tr w:rsidR="0052724E" w:rsidRPr="00DA6929" w:rsidTr="0052724E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Ciprofloxacina</w:t>
            </w:r>
            <w:proofErr w:type="spellEnd"/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 xml:space="preserve"> 500mg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 Cápsula cada 8 horas por 7 días vía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0,43%   (1)</w:t>
            </w:r>
          </w:p>
        </w:tc>
      </w:tr>
      <w:tr w:rsidR="0052724E" w:rsidRPr="00DA6929" w:rsidTr="0052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724E">
              <w:rPr>
                <w:rFonts w:ascii="Arial" w:hAnsi="Arial" w:cs="Arial"/>
                <w:color w:val="auto"/>
                <w:sz w:val="20"/>
                <w:szCs w:val="20"/>
              </w:rPr>
              <w:t>Ninguno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No Prescripción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77" w:rsidRPr="0052724E" w:rsidRDefault="00BB6677" w:rsidP="00DA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24E">
              <w:rPr>
                <w:rFonts w:ascii="Arial" w:hAnsi="Arial" w:cs="Arial"/>
                <w:sz w:val="20"/>
                <w:szCs w:val="20"/>
              </w:rPr>
              <w:t>16,24%  (38)</w:t>
            </w:r>
          </w:p>
        </w:tc>
      </w:tr>
    </w:tbl>
    <w:p w:rsidR="0052724E" w:rsidRDefault="00BB6677" w:rsidP="00DA692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sz w:val="20"/>
          <w:szCs w:val="20"/>
        </w:rPr>
        <w:t xml:space="preserve">* De estos 132, a 2 se les dio esquema de profilaxis 2000mg 1 hora antes del procedimiento adicionalmente al esquema descrito. ** De estos 7,  1 recibió profilaxis con </w:t>
      </w:r>
      <w:proofErr w:type="spellStart"/>
      <w:r w:rsidRPr="00DA6929">
        <w:rPr>
          <w:rFonts w:ascii="Arial" w:hAnsi="Arial" w:cs="Arial"/>
          <w:sz w:val="20"/>
          <w:szCs w:val="20"/>
        </w:rPr>
        <w:t>Cefalotina</w:t>
      </w:r>
      <w:proofErr w:type="spellEnd"/>
      <w:r w:rsidRPr="00DA6929">
        <w:rPr>
          <w:rFonts w:ascii="Arial" w:hAnsi="Arial" w:cs="Arial"/>
          <w:sz w:val="20"/>
          <w:szCs w:val="20"/>
        </w:rPr>
        <w:t xml:space="preserve"> 1000mg IV 1 hora antes del procedimiento adicionalmente al esquema descrito.</w:t>
      </w:r>
    </w:p>
    <w:p w:rsidR="0052724E" w:rsidRDefault="0052724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6677" w:rsidRPr="00DA6929" w:rsidRDefault="00BB6677" w:rsidP="00DA692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5FE253A1" wp14:editId="08AF3393">
            <wp:extent cx="5536406" cy="2628900"/>
            <wp:effectExtent l="0" t="0" r="26670" b="19050"/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724E" w:rsidRDefault="0052724E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B6677" w:rsidRPr="00DA6929" w:rsidRDefault="00BB6677" w:rsidP="00DA6929">
      <w:pPr>
        <w:tabs>
          <w:tab w:val="num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445A55BC" wp14:editId="5897E423">
            <wp:extent cx="5505509" cy="3597215"/>
            <wp:effectExtent l="0" t="0" r="19050" b="22860"/>
            <wp:docPr id="7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7B79" w:rsidRDefault="00717B7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:rsidR="00BB6677" w:rsidRPr="00DA6929" w:rsidRDefault="00BB6677" w:rsidP="00DA6929">
      <w:pPr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jc w:val="both"/>
        <w:rPr>
          <w:rFonts w:ascii="Arial" w:hAnsi="Arial" w:cs="Arial"/>
          <w:sz w:val="20"/>
          <w:szCs w:val="20"/>
        </w:rPr>
      </w:pPr>
    </w:p>
    <w:p w:rsidR="00BB6677" w:rsidRPr="00DA6929" w:rsidRDefault="00BB6677" w:rsidP="00DA6929">
      <w:pPr>
        <w:jc w:val="both"/>
        <w:rPr>
          <w:rFonts w:ascii="Arial" w:hAnsi="Arial" w:cs="Arial"/>
          <w:b/>
          <w:sz w:val="20"/>
          <w:szCs w:val="20"/>
        </w:rPr>
      </w:pPr>
      <w:r w:rsidRPr="00DA6929">
        <w:rPr>
          <w:rFonts w:ascii="Arial" w:hAnsi="Arial" w:cs="Arial"/>
          <w:b/>
          <w:noProof/>
          <w:sz w:val="20"/>
          <w:szCs w:val="20"/>
          <w:lang w:eastAsia="es-CO"/>
        </w:rPr>
        <w:drawing>
          <wp:inline distT="0" distB="0" distL="0" distR="0" wp14:anchorId="5618008F" wp14:editId="71DA52BA">
            <wp:extent cx="5613208" cy="3372928"/>
            <wp:effectExtent l="0" t="0" r="26035" b="18415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6677" w:rsidRPr="00DA6929" w:rsidRDefault="00BB6677" w:rsidP="00DA6929">
      <w:pPr>
        <w:jc w:val="both"/>
        <w:rPr>
          <w:rFonts w:ascii="Arial" w:hAnsi="Arial" w:cs="Arial"/>
          <w:sz w:val="20"/>
          <w:szCs w:val="20"/>
        </w:rPr>
      </w:pPr>
      <w:r w:rsidRPr="00DA6929">
        <w:rPr>
          <w:rFonts w:ascii="Arial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48F2C" wp14:editId="47157083">
                <wp:simplePos x="0" y="0"/>
                <wp:positionH relativeFrom="column">
                  <wp:posOffset>112395</wp:posOffset>
                </wp:positionH>
                <wp:positionV relativeFrom="paragraph">
                  <wp:posOffset>-3810</wp:posOffset>
                </wp:positionV>
                <wp:extent cx="5460365" cy="635"/>
                <wp:effectExtent l="7620" t="5715" r="889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0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85pt;margin-top:-.3pt;width:429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yo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"/>
            </w:pict>
          </mc:Fallback>
        </mc:AlternateContent>
      </w:r>
    </w:p>
    <w:p w:rsidR="00BB6677" w:rsidRPr="00DA6929" w:rsidRDefault="00BB6677" w:rsidP="00DA6929">
      <w:pPr>
        <w:jc w:val="both"/>
        <w:rPr>
          <w:rFonts w:ascii="Arial" w:hAnsi="Arial" w:cs="Arial"/>
          <w:sz w:val="20"/>
          <w:szCs w:val="20"/>
        </w:rPr>
      </w:pPr>
    </w:p>
    <w:sectPr w:rsidR="00BB6677" w:rsidRPr="00DA6929" w:rsidSect="00DA6929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92" w:rsidRDefault="00014892" w:rsidP="00BB6677">
      <w:r>
        <w:separator/>
      </w:r>
    </w:p>
  </w:endnote>
  <w:endnote w:type="continuationSeparator" w:id="0">
    <w:p w:rsidR="00014892" w:rsidRDefault="00014892" w:rsidP="00BB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MIWN+TimesNewRomanMTStd-Bold">
    <w:altName w:val="Times New Roman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9786"/>
      <w:docPartObj>
        <w:docPartGallery w:val="Page Numbers (Bottom of Page)"/>
        <w:docPartUnique/>
      </w:docPartObj>
    </w:sdtPr>
    <w:sdtEndPr/>
    <w:sdtContent>
      <w:p w:rsidR="000D55CC" w:rsidRDefault="0001489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B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55CC" w:rsidRDefault="000148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92" w:rsidRDefault="00014892" w:rsidP="00BB6677">
      <w:r>
        <w:separator/>
      </w:r>
    </w:p>
  </w:footnote>
  <w:footnote w:type="continuationSeparator" w:id="0">
    <w:p w:rsidR="00014892" w:rsidRDefault="00014892" w:rsidP="00BB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3C0"/>
    <w:multiLevelType w:val="hybridMultilevel"/>
    <w:tmpl w:val="D1A67D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864"/>
    <w:multiLevelType w:val="hybridMultilevel"/>
    <w:tmpl w:val="E0B89550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936446E"/>
    <w:multiLevelType w:val="hybridMultilevel"/>
    <w:tmpl w:val="7ACC6AB4"/>
    <w:lvl w:ilvl="0" w:tplc="0C0A000F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60135"/>
    <w:multiLevelType w:val="hybridMultilevel"/>
    <w:tmpl w:val="15A6DB6E"/>
    <w:lvl w:ilvl="0" w:tplc="BDA858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2711E"/>
    <w:multiLevelType w:val="hybridMultilevel"/>
    <w:tmpl w:val="7D5CDA1A"/>
    <w:lvl w:ilvl="0" w:tplc="A6FA74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9A7976"/>
    <w:multiLevelType w:val="hybridMultilevel"/>
    <w:tmpl w:val="07DE4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30EA9"/>
    <w:multiLevelType w:val="hybridMultilevel"/>
    <w:tmpl w:val="18D64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1163D"/>
    <w:multiLevelType w:val="hybridMultilevel"/>
    <w:tmpl w:val="958E04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77"/>
    <w:rsid w:val="00014892"/>
    <w:rsid w:val="001222FF"/>
    <w:rsid w:val="004D1979"/>
    <w:rsid w:val="0052724E"/>
    <w:rsid w:val="00717B79"/>
    <w:rsid w:val="008E6FC0"/>
    <w:rsid w:val="00A92F35"/>
    <w:rsid w:val="00BB6677"/>
    <w:rsid w:val="00C96401"/>
    <w:rsid w:val="00DA6929"/>
    <w:rsid w:val="00DD26F9"/>
    <w:rsid w:val="00E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6677"/>
    <w:pPr>
      <w:tabs>
        <w:tab w:val="center" w:pos="4252"/>
        <w:tab w:val="right" w:pos="8504"/>
      </w:tabs>
    </w:pPr>
    <w:rPr>
      <w:rFonts w:ascii="Arial" w:eastAsiaTheme="minorHAnsi" w:hAnsi="Arial" w:cs="Arial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6677"/>
    <w:rPr>
      <w:rFonts w:ascii="Arial" w:hAnsi="Arial" w:cs="Arial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6677"/>
    <w:pPr>
      <w:tabs>
        <w:tab w:val="center" w:pos="4252"/>
        <w:tab w:val="right" w:pos="8504"/>
      </w:tabs>
    </w:pPr>
    <w:rPr>
      <w:rFonts w:ascii="Arial" w:eastAsiaTheme="minorHAnsi" w:hAnsi="Arial" w:cs="Arial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6677"/>
    <w:rPr>
      <w:rFonts w:ascii="Arial" w:hAnsi="Arial" w:cs="Arial"/>
      <w:sz w:val="24"/>
      <w:szCs w:val="24"/>
      <w:lang w:val="es-ES"/>
    </w:rPr>
  </w:style>
  <w:style w:type="character" w:customStyle="1" w:styleId="A0">
    <w:name w:val="A0"/>
    <w:uiPriority w:val="99"/>
    <w:rsid w:val="00BB6677"/>
    <w:rPr>
      <w:rFonts w:cs="Pigiarniq"/>
      <w:color w:val="000000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rsid w:val="00BB667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667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BB6677"/>
    <w:rPr>
      <w:vertAlign w:val="superscript"/>
    </w:rPr>
  </w:style>
  <w:style w:type="paragraph" w:styleId="Prrafodelista">
    <w:name w:val="List Paragraph"/>
    <w:basedOn w:val="Normal"/>
    <w:uiPriority w:val="34"/>
    <w:qFormat/>
    <w:rsid w:val="00BB6677"/>
    <w:pPr>
      <w:ind w:left="720"/>
      <w:contextualSpacing/>
    </w:pPr>
  </w:style>
  <w:style w:type="paragraph" w:customStyle="1" w:styleId="Default">
    <w:name w:val="Default"/>
    <w:rsid w:val="00BB6677"/>
    <w:pPr>
      <w:autoSpaceDE w:val="0"/>
      <w:autoSpaceDN w:val="0"/>
      <w:adjustRightInd w:val="0"/>
      <w:spacing w:after="0" w:line="240" w:lineRule="auto"/>
    </w:pPr>
    <w:rPr>
      <w:rFonts w:ascii="NOMIWN+TimesNewRomanMTStd-Bold" w:hAnsi="NOMIWN+TimesNewRomanMTStd-Bold" w:cs="NOMIWN+TimesNewRomanMTStd-Bol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B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11">
    <w:name w:val="Lista media 1 - Énfasis 11"/>
    <w:basedOn w:val="Tablanormal"/>
    <w:uiPriority w:val="65"/>
    <w:rsid w:val="00BB6677"/>
    <w:pPr>
      <w:spacing w:after="0" w:line="240" w:lineRule="auto"/>
    </w:pPr>
    <w:rPr>
      <w:rFonts w:ascii="Arial" w:hAnsi="Arial" w:cs="Arial"/>
      <w:color w:val="000000" w:themeColor="text1"/>
      <w:sz w:val="24"/>
      <w:szCs w:val="24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Cuadrculamedia3-nfasis1">
    <w:name w:val="Medium Grid 3 Accent 1"/>
    <w:basedOn w:val="Tablanormal"/>
    <w:uiPriority w:val="69"/>
    <w:rsid w:val="00BB6677"/>
    <w:pPr>
      <w:spacing w:after="0" w:line="240" w:lineRule="auto"/>
    </w:pPr>
    <w:rPr>
      <w:rFonts w:ascii="Arial" w:hAnsi="Arial" w:cs="Arial"/>
      <w:sz w:val="24"/>
      <w:szCs w:val="24"/>
      <w:lang w:val="es-E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rsid w:val="00BB6677"/>
    <w:pPr>
      <w:spacing w:before="100" w:beforeAutospacing="1" w:after="100" w:afterAutospacing="1"/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BB6677"/>
    <w:pPr>
      <w:spacing w:after="120"/>
      <w:ind w:left="283"/>
    </w:pPr>
    <w:rPr>
      <w:rFonts w:eastAsia="MS Mincho"/>
      <w:lang w:val="es-ES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rsid w:val="00BB667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B66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B66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6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677"/>
    <w:rPr>
      <w:rFonts w:ascii="Tahoma" w:eastAsia="Times New Roman" w:hAnsi="Tahoma" w:cs="Tahoma"/>
      <w:sz w:val="16"/>
      <w:szCs w:val="16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6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67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6677"/>
    <w:pPr>
      <w:tabs>
        <w:tab w:val="center" w:pos="4252"/>
        <w:tab w:val="right" w:pos="8504"/>
      </w:tabs>
    </w:pPr>
    <w:rPr>
      <w:rFonts w:ascii="Arial" w:eastAsiaTheme="minorHAnsi" w:hAnsi="Arial" w:cs="Arial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6677"/>
    <w:rPr>
      <w:rFonts w:ascii="Arial" w:hAnsi="Arial" w:cs="Arial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6677"/>
    <w:pPr>
      <w:tabs>
        <w:tab w:val="center" w:pos="4252"/>
        <w:tab w:val="right" w:pos="8504"/>
      </w:tabs>
    </w:pPr>
    <w:rPr>
      <w:rFonts w:ascii="Arial" w:eastAsiaTheme="minorHAnsi" w:hAnsi="Arial" w:cs="Arial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6677"/>
    <w:rPr>
      <w:rFonts w:ascii="Arial" w:hAnsi="Arial" w:cs="Arial"/>
      <w:sz w:val="24"/>
      <w:szCs w:val="24"/>
      <w:lang w:val="es-ES"/>
    </w:rPr>
  </w:style>
  <w:style w:type="character" w:customStyle="1" w:styleId="A0">
    <w:name w:val="A0"/>
    <w:uiPriority w:val="99"/>
    <w:rsid w:val="00BB6677"/>
    <w:rPr>
      <w:rFonts w:cs="Pigiarniq"/>
      <w:color w:val="000000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rsid w:val="00BB667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667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BB6677"/>
    <w:rPr>
      <w:vertAlign w:val="superscript"/>
    </w:rPr>
  </w:style>
  <w:style w:type="paragraph" w:styleId="Prrafodelista">
    <w:name w:val="List Paragraph"/>
    <w:basedOn w:val="Normal"/>
    <w:uiPriority w:val="34"/>
    <w:qFormat/>
    <w:rsid w:val="00BB6677"/>
    <w:pPr>
      <w:ind w:left="720"/>
      <w:contextualSpacing/>
    </w:pPr>
  </w:style>
  <w:style w:type="paragraph" w:customStyle="1" w:styleId="Default">
    <w:name w:val="Default"/>
    <w:rsid w:val="00BB6677"/>
    <w:pPr>
      <w:autoSpaceDE w:val="0"/>
      <w:autoSpaceDN w:val="0"/>
      <w:adjustRightInd w:val="0"/>
      <w:spacing w:after="0" w:line="240" w:lineRule="auto"/>
    </w:pPr>
    <w:rPr>
      <w:rFonts w:ascii="NOMIWN+TimesNewRomanMTStd-Bold" w:hAnsi="NOMIWN+TimesNewRomanMTStd-Bold" w:cs="NOMIWN+TimesNewRomanMTStd-Bol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B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11">
    <w:name w:val="Lista media 1 - Énfasis 11"/>
    <w:basedOn w:val="Tablanormal"/>
    <w:uiPriority w:val="65"/>
    <w:rsid w:val="00BB6677"/>
    <w:pPr>
      <w:spacing w:after="0" w:line="240" w:lineRule="auto"/>
    </w:pPr>
    <w:rPr>
      <w:rFonts w:ascii="Arial" w:hAnsi="Arial" w:cs="Arial"/>
      <w:color w:val="000000" w:themeColor="text1"/>
      <w:sz w:val="24"/>
      <w:szCs w:val="24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Cuadrculamedia3-nfasis1">
    <w:name w:val="Medium Grid 3 Accent 1"/>
    <w:basedOn w:val="Tablanormal"/>
    <w:uiPriority w:val="69"/>
    <w:rsid w:val="00BB6677"/>
    <w:pPr>
      <w:spacing w:after="0" w:line="240" w:lineRule="auto"/>
    </w:pPr>
    <w:rPr>
      <w:rFonts w:ascii="Arial" w:hAnsi="Arial" w:cs="Arial"/>
      <w:sz w:val="24"/>
      <w:szCs w:val="24"/>
      <w:lang w:val="es-E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rsid w:val="00BB6677"/>
    <w:pPr>
      <w:spacing w:before="100" w:beforeAutospacing="1" w:after="100" w:afterAutospacing="1"/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BB6677"/>
    <w:pPr>
      <w:spacing w:after="120"/>
      <w:ind w:left="283"/>
    </w:pPr>
    <w:rPr>
      <w:rFonts w:eastAsia="MS Mincho"/>
      <w:lang w:val="es-ES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rsid w:val="00BB667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B66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B66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6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677"/>
    <w:rPr>
      <w:rFonts w:ascii="Tahoma" w:eastAsia="Times New Roman" w:hAnsi="Tahoma" w:cs="Tahoma"/>
      <w:sz w:val="16"/>
      <w:szCs w:val="16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6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67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Recolecci&#243;n%20de%20Datos%20Muestra%20%20Complet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Recolecci&#243;n%20de%20Datos%20Muestra%20%20Complet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colecci&#243;n%20de%20Datos%20Muestra%20%20Complet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colecci&#243;n%20de%20Datos%20Muestra%20%20Complet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Recolecci&#243;n%20de%20Datos%20Muestra%20%20Comple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100">
                <a:solidFill>
                  <a:sysClr val="windowText" lastClr="000000"/>
                </a:solidFill>
              </a:defRPr>
            </a:pPr>
            <a:r>
              <a:rPr lang="es-ES" sz="1100">
                <a:solidFill>
                  <a:sysClr val="windowText" lastClr="000000"/>
                </a:solidFill>
              </a:rPr>
              <a:t>GRÁFICA 1. DIAGNÓSTICOS EN RELACIÓN</a:t>
            </a:r>
            <a:r>
              <a:rPr lang="es-ES" sz="1100" baseline="0">
                <a:solidFill>
                  <a:sysClr val="windowText" lastClr="000000"/>
                </a:solidFill>
              </a:rPr>
              <a:t> CON LOS PROCEDIMIENTOS</a:t>
            </a:r>
            <a:r>
              <a:rPr lang="es-ES" sz="1100">
                <a:solidFill>
                  <a:sysClr val="windowText" lastClr="000000"/>
                </a:solidFill>
              </a:rPr>
              <a:t> REALIZADOS</a:t>
            </a:r>
          </a:p>
        </c:rich>
      </c:tx>
      <c:layout>
        <c:manualLayout>
          <c:xMode val="edge"/>
          <c:yMode val="edge"/>
          <c:x val="0.13877094241477134"/>
          <c:y val="2.6565464895635674E-2"/>
        </c:manualLayout>
      </c:layout>
      <c:overlay val="0"/>
    </c:title>
    <c:autoTitleDeleted val="0"/>
    <c:view3D>
      <c:rotX val="30"/>
      <c:rotY val="2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34472103862815E-2"/>
          <c:y val="0.21612115350644248"/>
          <c:w val="0.53638769545054876"/>
          <c:h val="0.655123576822107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2060"/>
              </a:solidFill>
            </c:spPr>
          </c:dPt>
          <c:dPt>
            <c:idx val="1"/>
            <c:bubble3D val="0"/>
            <c:spPr>
              <a:solidFill>
                <a:srgbClr val="D20000"/>
              </a:solidFill>
            </c:spPr>
          </c:dPt>
          <c:dPt>
            <c:idx val="2"/>
            <c:bubble3D val="0"/>
            <c:spPr>
              <a:solidFill>
                <a:srgbClr val="0099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70C0"/>
              </a:solidFill>
            </c:spPr>
          </c:dPt>
          <c:dPt>
            <c:idx val="5"/>
            <c:bubble3D val="0"/>
            <c:spPr>
              <a:solidFill>
                <a:srgbClr val="FF3300"/>
              </a:solidFill>
            </c:spPr>
          </c:dPt>
          <c:dPt>
            <c:idx val="6"/>
            <c:bubble3D val="0"/>
            <c:spPr>
              <a:solidFill>
                <a:srgbClr val="9933FF"/>
              </a:solidFill>
            </c:spPr>
          </c:dPt>
          <c:dLbls>
            <c:dLbl>
              <c:idx val="1"/>
              <c:layout>
                <c:manualLayout>
                  <c:x val="1.3678025728918365E-2"/>
                  <c:y val="7.022548049237277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1398891648872761E-2"/>
                  <c:y val="-8.8130812985151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7.9487521760479504E-3"/>
                  <c:y val="6.8061545261029885E-3"/>
                </c:manualLayout>
              </c:layout>
              <c:spPr/>
              <c:txPr>
                <a:bodyPr/>
                <a:lstStyle/>
                <a:p>
                  <a:pPr>
                    <a:defRPr sz="1000">
                      <a:solidFill>
                        <a:sysClr val="windowText" lastClr="000000"/>
                      </a:solidFill>
                    </a:defRPr>
                  </a:pPr>
                  <a:endParaRPr lang="es-C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6162807959266123E-3"/>
                  <c:y val="9.9364126879980148E-3"/>
                </c:manualLayout>
              </c:layout>
              <c:spPr/>
              <c:txPr>
                <a:bodyPr/>
                <a:lstStyle/>
                <a:p>
                  <a:pPr>
                    <a:defRPr sz="1000">
                      <a:solidFill>
                        <a:sysClr val="windowText" lastClr="000000"/>
                      </a:solidFill>
                    </a:defRPr>
                  </a:pPr>
                  <a:endParaRPr lang="es-C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2776001237999489E-2"/>
                  <c:y val="1.7746200482480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0168906172677451E-2"/>
                  <c:y val="-1.0228501309759744E-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Hoja1!$I$342:$I$348</c:f>
              <c:strCache>
                <c:ptCount val="7"/>
                <c:pt idx="0">
                  <c:v>LESIÓN BENIGNA DE LA LENGUA</c:v>
                </c:pt>
                <c:pt idx="1">
                  <c:v>DIENTES INCLUIDOS</c:v>
                </c:pt>
                <c:pt idx="2">
                  <c:v>RAIZ DENTAL RETENIDA</c:v>
                </c:pt>
                <c:pt idx="3">
                  <c:v>OTRAS ENFERMEDADES ESPECIFICADAS DE LOS MAXILARES</c:v>
                </c:pt>
                <c:pt idx="4">
                  <c:v>LEUCOPLASIA Y OTRAS ALTERACIONES DEL EPITELIO BUCAL, INCLUYENDO LA LENGUA</c:v>
                </c:pt>
                <c:pt idx="5">
                  <c:v>HIPERPLASIA GINGIVAL</c:v>
                </c:pt>
                <c:pt idx="6">
                  <c:v>OTROS</c:v>
                </c:pt>
              </c:strCache>
            </c:strRef>
          </c:cat>
          <c:val>
            <c:numRef>
              <c:f>Hoja1!$J$342:$J$348</c:f>
              <c:numCache>
                <c:formatCode>General</c:formatCode>
                <c:ptCount val="7"/>
                <c:pt idx="0">
                  <c:v>11</c:v>
                </c:pt>
                <c:pt idx="1">
                  <c:v>130</c:v>
                </c:pt>
                <c:pt idx="2">
                  <c:v>41</c:v>
                </c:pt>
                <c:pt idx="3">
                  <c:v>5</c:v>
                </c:pt>
                <c:pt idx="4">
                  <c:v>3</c:v>
                </c:pt>
                <c:pt idx="5">
                  <c:v>8</c:v>
                </c:pt>
                <c:pt idx="6">
                  <c:v>36</c:v>
                </c:pt>
              </c:numCache>
            </c:numRef>
          </c:val>
        </c:ser>
        <c:ser>
          <c:idx val="1"/>
          <c:order val="1"/>
          <c:cat>
            <c:strRef>
              <c:f>Hoja1!$I$342:$I$348</c:f>
              <c:strCache>
                <c:ptCount val="7"/>
                <c:pt idx="0">
                  <c:v>LESIÓN BENIGNA DE LA LENGUA</c:v>
                </c:pt>
                <c:pt idx="1">
                  <c:v>DIENTES INCLUIDOS</c:v>
                </c:pt>
                <c:pt idx="2">
                  <c:v>RAIZ DENTAL RETENIDA</c:v>
                </c:pt>
                <c:pt idx="3">
                  <c:v>OTRAS ENFERMEDADES ESPECIFICADAS DE LOS MAXILARES</c:v>
                </c:pt>
                <c:pt idx="4">
                  <c:v>LEUCOPLASIA Y OTRAS ALTERACIONES DEL EPITELIO BUCAL, INCLUYENDO LA LENGUA</c:v>
                </c:pt>
                <c:pt idx="5">
                  <c:v>HIPERPLASIA GINGIVAL</c:v>
                </c:pt>
                <c:pt idx="6">
                  <c:v>OTROS</c:v>
                </c:pt>
              </c:strCache>
            </c:strRef>
          </c:cat>
          <c:val>
            <c:numRef>
              <c:f>Hoja1!$K$342:$K$348</c:f>
              <c:numCache>
                <c:formatCode>0.0</c:formatCode>
                <c:ptCount val="7"/>
                <c:pt idx="0">
                  <c:v>4.700854700854701</c:v>
                </c:pt>
                <c:pt idx="1">
                  <c:v>55.555555555555557</c:v>
                </c:pt>
                <c:pt idx="2">
                  <c:v>17.52136752136752</c:v>
                </c:pt>
                <c:pt idx="3">
                  <c:v>2.1367521367521367</c:v>
                </c:pt>
                <c:pt idx="4">
                  <c:v>1.2820512820512819</c:v>
                </c:pt>
                <c:pt idx="5">
                  <c:v>3.4188034188034178</c:v>
                </c:pt>
                <c:pt idx="6">
                  <c:v>15.384615384615385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</c:spPr>
    </c:plotArea>
    <c:legend>
      <c:legendPos val="r"/>
      <c:layout>
        <c:manualLayout>
          <c:xMode val="edge"/>
          <c:yMode val="edge"/>
          <c:x val="0.60530201420651264"/>
          <c:y val="0.21051380830629418"/>
          <c:w val="0.37713859097229202"/>
          <c:h val="0.76783586392138603"/>
        </c:manualLayout>
      </c:layout>
      <c:overlay val="0"/>
      <c:txPr>
        <a:bodyPr/>
        <a:lstStyle/>
        <a:p>
          <a:pPr>
            <a:defRPr sz="800">
              <a:solidFill>
                <a:sysClr val="windowText" lastClr="000000"/>
              </a:solidFill>
            </a:defRPr>
          </a:pPr>
          <a:endParaRPr lang="es-CO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s-ES" sz="1200">
                <a:solidFill>
                  <a:sysClr val="windowText" lastClr="000000"/>
                </a:solidFill>
              </a:rPr>
              <a:t>GRÁFICA 2. CONDICIÓN SISTÉMICA ASOCIADA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411605781981876"/>
          <c:y val="0.22199793270670595"/>
          <c:w val="0.47960501880912215"/>
          <c:h val="0.6706226030507110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0099"/>
              </a:solidFill>
            </c:spPr>
          </c:dPt>
          <c:dPt>
            <c:idx val="1"/>
            <c:bubble3D val="0"/>
            <c:spPr>
              <a:solidFill>
                <a:srgbClr val="D20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9900"/>
              </a:solidFill>
            </c:spPr>
          </c:dPt>
          <c:dPt>
            <c:idx val="4"/>
            <c:bubble3D val="0"/>
            <c:spPr>
              <a:solidFill>
                <a:srgbClr val="6600CC"/>
              </a:solidFill>
            </c:spPr>
          </c:dPt>
          <c:dPt>
            <c:idx val="5"/>
            <c:bubble3D val="0"/>
            <c:spPr>
              <a:solidFill>
                <a:srgbClr val="FF3300"/>
              </a:solidFill>
            </c:spPr>
          </c:dPt>
          <c:dLbls>
            <c:dLbl>
              <c:idx val="2"/>
              <c:layout>
                <c:manualLayout>
                  <c:x val="3.5748581741747623E-2"/>
                  <c:y val="-0.18032469343563623"/>
                </c:manualLayout>
              </c:layout>
              <c:spPr/>
              <c:txPr>
                <a:bodyPr/>
                <a:lstStyle/>
                <a:p>
                  <a:pPr>
                    <a:defRPr sz="1000">
                      <a:solidFill>
                        <a:sysClr val="windowText" lastClr="000000"/>
                      </a:solidFill>
                    </a:defRPr>
                  </a:pPr>
                  <a:endParaRPr lang="es-C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Hoja1!$M$342:$M$347</c:f>
              <c:strCache>
                <c:ptCount val="6"/>
                <c:pt idx="0">
                  <c:v>Diabetes mellitus</c:v>
                </c:pt>
                <c:pt idx="1">
                  <c:v>Inmunosupresión por Patología</c:v>
                </c:pt>
                <c:pt idx="2">
                  <c:v>Inmunosupresión por Fármacos</c:v>
                </c:pt>
                <c:pt idx="3">
                  <c:v>Neoplasia</c:v>
                </c:pt>
                <c:pt idx="4">
                  <c:v>Cardiopatía (factores de alto riesgo para endocarditis infecciosa según la AHA)</c:v>
                </c:pt>
                <c:pt idx="5">
                  <c:v>Otros</c:v>
                </c:pt>
              </c:strCache>
            </c:strRef>
          </c:cat>
          <c:val>
            <c:numRef>
              <c:f>Hoja1!$N$342:$N$347</c:f>
              <c:numCache>
                <c:formatCode>General</c:formatCode>
                <c:ptCount val="6"/>
                <c:pt idx="0">
                  <c:v>10</c:v>
                </c:pt>
                <c:pt idx="1">
                  <c:v>19</c:v>
                </c:pt>
                <c:pt idx="2">
                  <c:v>5</c:v>
                </c:pt>
                <c:pt idx="3">
                  <c:v>5</c:v>
                </c:pt>
                <c:pt idx="4">
                  <c:v>10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cat>
            <c:strRef>
              <c:f>Hoja1!$M$342:$M$347</c:f>
              <c:strCache>
                <c:ptCount val="6"/>
                <c:pt idx="0">
                  <c:v>Diabetes mellitus</c:v>
                </c:pt>
                <c:pt idx="1">
                  <c:v>Inmunosupresión por Patología</c:v>
                </c:pt>
                <c:pt idx="2">
                  <c:v>Inmunosupresión por Fármacos</c:v>
                </c:pt>
                <c:pt idx="3">
                  <c:v>Neoplasia</c:v>
                </c:pt>
                <c:pt idx="4">
                  <c:v>Cardiopatía (factores de alto riesgo para endocarditis infecciosa según la AHA)</c:v>
                </c:pt>
                <c:pt idx="5">
                  <c:v>Otros</c:v>
                </c:pt>
              </c:strCache>
            </c:strRef>
          </c:cat>
          <c:val>
            <c:numRef>
              <c:f>Hoja1!$O$342:$O$347</c:f>
              <c:numCache>
                <c:formatCode>0.0</c:formatCode>
                <c:ptCount val="6"/>
                <c:pt idx="0">
                  <c:v>16.666666666666664</c:v>
                </c:pt>
                <c:pt idx="1">
                  <c:v>31.666666666666664</c:v>
                </c:pt>
                <c:pt idx="2">
                  <c:v>8.3333333333333321</c:v>
                </c:pt>
                <c:pt idx="3">
                  <c:v>8.3333333333333321</c:v>
                </c:pt>
                <c:pt idx="4">
                  <c:v>16.666666666666664</c:v>
                </c:pt>
                <c:pt idx="5">
                  <c:v>18.333333333333169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5.6131442689160656E-2"/>
          <c:y val="0.21869570752920081"/>
          <c:w val="0.40351863192823373"/>
          <c:h val="0.69624435670029361"/>
        </c:manualLayout>
      </c:layout>
      <c:overlay val="0"/>
      <c:txPr>
        <a:bodyPr/>
        <a:lstStyle/>
        <a:p>
          <a:pPr>
            <a:defRPr sz="800">
              <a:solidFill>
                <a:sysClr val="windowText" lastClr="000000"/>
              </a:solidFill>
            </a:defRPr>
          </a:pPr>
          <a:endParaRPr lang="es-CO"/>
        </a:p>
      </c:txPr>
    </c:legend>
    <c:plotVisOnly val="1"/>
    <c:dispBlanksAs val="gap"/>
    <c:showDLblsOverMax val="0"/>
  </c:chart>
  <c:spPr>
    <a:noFill/>
    <a:ln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100">
                <a:solidFill>
                  <a:sysClr val="windowText" lastClr="000000"/>
                </a:solidFill>
              </a:defRPr>
            </a:pPr>
            <a:r>
              <a:rPr lang="en-US" sz="1100">
                <a:solidFill>
                  <a:sysClr val="windowText" lastClr="000000"/>
                </a:solidFill>
              </a:rPr>
              <a:t>GRÁFICA</a:t>
            </a:r>
            <a:r>
              <a:rPr lang="en-US" sz="1100" baseline="0">
                <a:solidFill>
                  <a:sysClr val="windowText" lastClr="000000"/>
                </a:solidFill>
              </a:rPr>
              <a:t> 3. RELACIÓN DE INDICACIÓN-PRESCRIPCIÓN Y PERTINENCIA DE LA PRESCRIPCIÓN</a:t>
            </a:r>
            <a:endParaRPr lang="en-US" sz="1100">
              <a:solidFill>
                <a:sysClr val="windowText" lastClr="00000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Hoja1!$BB$299</c:f>
              <c:strCache>
                <c:ptCount val="1"/>
                <c:pt idx="0">
                  <c:v>Porcentaje - Historias Clínicas y (N)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0099"/>
              </a:solidFill>
            </c:spPr>
          </c:dPt>
          <c:dPt>
            <c:idx val="1"/>
            <c:invertIfNegative val="0"/>
            <c:bubble3D val="0"/>
            <c:spPr>
              <a:solidFill>
                <a:srgbClr val="D2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66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6600CC"/>
              </a:solidFill>
            </c:spPr>
          </c:dPt>
          <c:dLbls>
            <c:dLbl>
              <c:idx val="0"/>
              <c:layout>
                <c:manualLayout>
                  <c:x val="2.0929728839174853E-2"/>
                  <c:y val="3.6238683060421407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36,75% (86)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712646626698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5,98% (14)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655175952038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47,01% (110)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17701173013587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10,26% (24)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Hoja1!$AX$300:$AX$303</c:f>
              <c:strCache>
                <c:ptCount val="4"/>
                <c:pt idx="0">
                  <c:v>Historias Clínicas de Pacientes Con Indicación de Profilaxis y Prescritos</c:v>
                </c:pt>
                <c:pt idx="1">
                  <c:v>Historias Clínicas de Pacientes Con Indicación de Profilaxis y No Prescritos</c:v>
                </c:pt>
                <c:pt idx="2">
                  <c:v>Historias Clínicas de Pacientes Sin Indicación de Profilaxis y Prescritos</c:v>
                </c:pt>
                <c:pt idx="3">
                  <c:v>Historias Clínicas de Pacientes Sin Indicación de Profilaxis y No Prescritos</c:v>
                </c:pt>
              </c:strCache>
            </c:strRef>
          </c:cat>
          <c:val>
            <c:numRef>
              <c:f>Hoja1!$BB$300:$BB$303</c:f>
              <c:numCache>
                <c:formatCode>0.00</c:formatCode>
                <c:ptCount val="4"/>
                <c:pt idx="0">
                  <c:v>36.75</c:v>
                </c:pt>
                <c:pt idx="1">
                  <c:v>5.98</c:v>
                </c:pt>
                <c:pt idx="2">
                  <c:v>47.01</c:v>
                </c:pt>
                <c:pt idx="3">
                  <c:v>10.26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493696"/>
        <c:axId val="358626368"/>
      </c:barChart>
      <c:catAx>
        <c:axId val="34249369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Indicación-Prescripción</a:t>
                </a:r>
              </a:p>
            </c:rich>
          </c:tx>
          <c:overlay val="0"/>
        </c:title>
        <c:majorTickMark val="none"/>
        <c:minorTickMark val="none"/>
        <c:tickLblPos val="none"/>
        <c:crossAx val="358626368"/>
        <c:crosses val="autoZero"/>
        <c:auto val="1"/>
        <c:lblAlgn val="ctr"/>
        <c:lblOffset val="100"/>
        <c:noMultiLvlLbl val="0"/>
      </c:catAx>
      <c:valAx>
        <c:axId val="358626368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Porcentaje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s-CO"/>
          </a:p>
        </c:txPr>
        <c:crossAx val="34249369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67932445705752076"/>
          <c:y val="0.3126199490550407"/>
          <c:w val="0.32054874588315962"/>
          <c:h val="0.48955837042108868"/>
        </c:manualLayout>
      </c:layout>
      <c:overlay val="0"/>
      <c:txPr>
        <a:bodyPr/>
        <a:lstStyle/>
        <a:p>
          <a:pPr>
            <a:defRPr sz="800">
              <a:solidFill>
                <a:sysClr val="windowText" lastClr="000000"/>
              </a:solidFill>
            </a:defRPr>
          </a:pPr>
          <a:endParaRPr lang="es-CO"/>
        </a:p>
      </c:txPr>
    </c:legend>
    <c:plotVisOnly val="1"/>
    <c:dispBlanksAs val="gap"/>
    <c:showDLblsOverMax val="0"/>
  </c:chart>
  <c:spPr>
    <a:noFill/>
    <a:ln>
      <a:solidFill>
        <a:sysClr val="windowText" lastClr="00000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100">
                <a:solidFill>
                  <a:sysClr val="windowText" lastClr="000000"/>
                </a:solidFill>
              </a:defRPr>
            </a:pPr>
            <a:r>
              <a:rPr lang="es-ES" sz="1100">
                <a:solidFill>
                  <a:sysClr val="windowText" lastClr="000000"/>
                </a:solidFill>
              </a:rPr>
              <a:t>GRÁFICA 4.</a:t>
            </a:r>
            <a:r>
              <a:rPr lang="es-ES" sz="1100" baseline="0">
                <a:solidFill>
                  <a:sysClr val="windowText" lastClr="000000"/>
                </a:solidFill>
              </a:rPr>
              <a:t> </a:t>
            </a:r>
            <a:r>
              <a:rPr lang="es-ES" sz="1100">
                <a:solidFill>
                  <a:sysClr val="windowText" lastClr="000000"/>
                </a:solidFill>
              </a:rPr>
              <a:t>PERTINENCIA DE LA PRESCRIPCIÓN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498796646958922"/>
          <c:y val="0.12051220012592766"/>
          <c:w val="0.71291549582806657"/>
          <c:h val="0.6374089710908560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Hoja1!$BA$269</c:f>
              <c:strCache>
                <c:ptCount val="1"/>
                <c:pt idx="0">
                  <c:v>Pertinencia - %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1.9974899374847224E-2"/>
                  <c:y val="-5.00103597017578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0,00% (0)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504823373207776E-2"/>
                  <c:y val="-1.36624803297730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17,91% (24)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69157947637679E-2"/>
                  <c:y val="-2.77634137594447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10,26% (24)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Hoja1!$BB$267:$BD$267</c:f>
              <c:strCache>
                <c:ptCount val="3"/>
                <c:pt idx="0">
                  <c:v> Historias Clínicas de los Pacientes Con Indicación de Profilaxis (100)</c:v>
                </c:pt>
                <c:pt idx="1">
                  <c:v>Historias Clínicas de los Pacientes Sin Indicación de Profilaxis (134)</c:v>
                </c:pt>
                <c:pt idx="2">
                  <c:v>Muestra (234HC) - Pertinencia Real</c:v>
                </c:pt>
              </c:strCache>
            </c:strRef>
          </c:cat>
          <c:val>
            <c:numRef>
              <c:f>Hoja1!$BB$269:$BD$269</c:f>
              <c:numCache>
                <c:formatCode>0.00</c:formatCode>
                <c:ptCount val="3"/>
                <c:pt idx="0">
                  <c:v>0</c:v>
                </c:pt>
                <c:pt idx="1">
                  <c:v>17.910447761194028</c:v>
                </c:pt>
                <c:pt idx="2">
                  <c:v>10.256410256410289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494720"/>
        <c:axId val="358628096"/>
      </c:barChart>
      <c:catAx>
        <c:axId val="342494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baseline="0">
                    <a:solidFill>
                      <a:sysClr val="windowText" lastClr="000000"/>
                    </a:solidFill>
                  </a:defRPr>
                </a:pPr>
                <a:r>
                  <a:rPr lang="en-US" sz="1000" b="1" baseline="0">
                    <a:solidFill>
                      <a:sysClr val="windowText" lastClr="000000"/>
                    </a:solidFill>
                  </a:rPr>
                  <a:t>Indicación - Pertinencia</a:t>
                </a:r>
              </a:p>
            </c:rich>
          </c:tx>
          <c:layout>
            <c:manualLayout>
              <c:xMode val="edge"/>
              <c:yMode val="edge"/>
              <c:x val="0.35107258741333502"/>
              <c:y val="0.92566759343761251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800">
                <a:solidFill>
                  <a:sysClr val="windowText" lastClr="000000"/>
                </a:solidFill>
              </a:defRPr>
            </a:pPr>
            <a:endParaRPr lang="es-CO"/>
          </a:p>
        </c:txPr>
        <c:crossAx val="358628096"/>
        <c:crosses val="autoZero"/>
        <c:auto val="1"/>
        <c:lblAlgn val="ctr"/>
        <c:lblOffset val="100"/>
        <c:noMultiLvlLbl val="0"/>
      </c:catAx>
      <c:valAx>
        <c:axId val="358628096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r>
                  <a:rPr lang="en-US" sz="1000" b="1">
                    <a:solidFill>
                      <a:sysClr val="windowText" lastClr="000000"/>
                    </a:solidFill>
                  </a:rPr>
                  <a:t> Historias Clínicas con Prescripción Pertinente - Porcentaje</a:t>
                </a:r>
              </a:p>
            </c:rich>
          </c:tx>
          <c:layout>
            <c:manualLayout>
              <c:xMode val="edge"/>
              <c:yMode val="edge"/>
              <c:x val="2.2273760395357611E-2"/>
              <c:y val="0.1218471142801300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s-CO"/>
          </a:p>
        </c:txPr>
        <c:crossAx val="34249472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82858595662687229"/>
          <c:y val="0.89180346100805197"/>
          <c:w val="0.14646752305666547"/>
          <c:h val="5.5263925342665499E-2"/>
        </c:manualLayout>
      </c:layout>
      <c:overlay val="0"/>
      <c:txPr>
        <a:bodyPr/>
        <a:lstStyle/>
        <a:p>
          <a:pPr>
            <a:defRPr sz="800">
              <a:solidFill>
                <a:sysClr val="windowText" lastClr="000000"/>
              </a:solidFill>
            </a:defRPr>
          </a:pPr>
          <a:endParaRPr lang="es-CO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s-ES" sz="1200">
                <a:solidFill>
                  <a:sysClr val="windowText" lastClr="000000"/>
                </a:solidFill>
              </a:rPr>
              <a:t>GRÁFICA 5. PROPORCIÓN DE ISO EN RELACIÓN CON LA INDICACIÓN-PRESCRIPCIÓN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828890278735536"/>
          <c:y val="0.13644491435037068"/>
          <c:w val="0.5314338762644486"/>
          <c:h val="0.76066918313656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Hoja1!$AS$295</c:f>
              <c:strCache>
                <c:ptCount val="1"/>
                <c:pt idx="0">
                  <c:v>Porcentaje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0099"/>
              </a:solidFill>
            </c:spPr>
          </c:dPt>
          <c:dPt>
            <c:idx val="1"/>
            <c:invertIfNegative val="0"/>
            <c:bubble3D val="0"/>
            <c:spPr>
              <a:solidFill>
                <a:srgbClr val="D2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66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2.0392030830071833E-2"/>
                  <c:y val="-9.7087378640776708E-3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4,65% - (4)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686272572330084E-2"/>
                  <c:y val="-1.1650485436893246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14,29% - (2)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93651608212975E-2"/>
                  <c:y val="-1.4420114446824889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4,55% - (5)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289825788069918E-2"/>
                  <c:y val="-3.2437977054988403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0% - (0)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Hoja1!$AQ$296:$AQ$299</c:f>
              <c:strCache>
                <c:ptCount val="4"/>
                <c:pt idx="0">
                  <c:v>Historias Clínicas de Pacientes Con Indicación de Profilaxis y Prescritos (86)</c:v>
                </c:pt>
                <c:pt idx="1">
                  <c:v>Historias Clínicas de Pacientes Con Indicación de Profilaxis y No Prescritos (14)</c:v>
                </c:pt>
                <c:pt idx="2">
                  <c:v>Historias Clínicas de Pacientes Sin Indicación de Profilaxis y Prescritos (110)</c:v>
                </c:pt>
                <c:pt idx="3">
                  <c:v>Historias Clínicas de Pacientes Sin Indicación de Profilaxis y No Prescritos (24)</c:v>
                </c:pt>
              </c:strCache>
            </c:strRef>
          </c:cat>
          <c:val>
            <c:numRef>
              <c:f>Hoja1!$AS$296:$AS$299</c:f>
              <c:numCache>
                <c:formatCode>0.00</c:formatCode>
                <c:ptCount val="4"/>
                <c:pt idx="0">
                  <c:v>4.65116279069768</c:v>
                </c:pt>
                <c:pt idx="1">
                  <c:v>14.285714285714286</c:v>
                </c:pt>
                <c:pt idx="2">
                  <c:v>4.5454545454545459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457728"/>
        <c:axId val="359252544"/>
      </c:barChart>
      <c:catAx>
        <c:axId val="34445772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</a:defRPr>
                </a:pPr>
                <a:r>
                  <a:rPr lang="en-US" sz="1000">
                    <a:solidFill>
                      <a:sysClr val="windowText" lastClr="000000"/>
                    </a:solidFill>
                  </a:rPr>
                  <a:t>Presentación de ISO / Indicación-Prescripción</a:t>
                </a:r>
              </a:p>
            </c:rich>
          </c:tx>
          <c:layout>
            <c:manualLayout>
              <c:xMode val="edge"/>
              <c:yMode val="edge"/>
              <c:x val="0.13106093408385053"/>
              <c:y val="0.90885618096324461"/>
            </c:manualLayout>
          </c:layout>
          <c:overlay val="0"/>
        </c:title>
        <c:majorTickMark val="none"/>
        <c:minorTickMark val="none"/>
        <c:tickLblPos val="none"/>
        <c:crossAx val="359252544"/>
        <c:crosses val="autoZero"/>
        <c:auto val="1"/>
        <c:lblAlgn val="ctr"/>
        <c:lblOffset val="100"/>
        <c:noMultiLvlLbl val="0"/>
      </c:catAx>
      <c:valAx>
        <c:axId val="359252544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</a:defRPr>
                </a:pPr>
                <a:r>
                  <a:rPr lang="en-US" sz="1000">
                    <a:solidFill>
                      <a:sysClr val="windowText" lastClr="000000"/>
                    </a:solidFill>
                  </a:rPr>
                  <a:t>Porcentaje de Historias Clínicas con ISO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s-CO"/>
          </a:p>
        </c:txPr>
        <c:crossAx val="34445772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1629666454625951"/>
          <c:y val="0.21268560511208184"/>
          <c:w val="0.28370332698270495"/>
          <c:h val="0.52733662529471947"/>
        </c:manualLayout>
      </c:layout>
      <c:overlay val="0"/>
      <c:txPr>
        <a:bodyPr/>
        <a:lstStyle/>
        <a:p>
          <a:pPr>
            <a:defRPr sz="800">
              <a:solidFill>
                <a:sysClr val="windowText" lastClr="000000"/>
              </a:solidFill>
            </a:defRPr>
          </a:pPr>
          <a:endParaRPr lang="es-CO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003502-DFEA-4EE2-8F92-E3D8578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Holguin Hernandez</dc:creator>
  <cp:lastModifiedBy>Esperanza Holguin Hernandez</cp:lastModifiedBy>
  <cp:revision>3</cp:revision>
  <dcterms:created xsi:type="dcterms:W3CDTF">2013-01-22T19:49:00Z</dcterms:created>
  <dcterms:modified xsi:type="dcterms:W3CDTF">2013-01-22T21:02:00Z</dcterms:modified>
</cp:coreProperties>
</file>